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797196" w14:textId="768A38B1" w:rsidR="004D534A" w:rsidRDefault="00DA3E77">
      <w:pPr>
        <w:pStyle w:val="BodyA"/>
        <w:jc w:val="center"/>
        <w:rPr>
          <w:rFonts w:hint="eastAsia"/>
        </w:rPr>
      </w:pPr>
      <w:r>
        <w:t xml:space="preserve"> </w:t>
      </w:r>
      <w:proofErr w:type="spellStart"/>
      <w:r>
        <w:t>Sabbatical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Report</w:t>
      </w:r>
      <w:proofErr w:type="spellEnd"/>
    </w:p>
    <w:p w14:paraId="4DE31E9D" w14:textId="2724D19B" w:rsidR="004D534A" w:rsidRDefault="334D9410">
      <w:pPr>
        <w:pStyle w:val="BodyA"/>
        <w:jc w:val="center"/>
        <w:rPr>
          <w:rFonts w:hint="eastAsia"/>
        </w:rPr>
      </w:pPr>
      <w:proofErr w:type="spellStart"/>
      <w:r>
        <w:t>Officer</w:t>
      </w:r>
      <w:proofErr w:type="spellEnd"/>
      <w:r>
        <w:t xml:space="preserve">: </w:t>
      </w:r>
      <w:proofErr w:type="spellStart"/>
      <w:r>
        <w:t>Tammy</w:t>
      </w:r>
      <w:proofErr w:type="spellEnd"/>
      <w:r>
        <w:t xml:space="preserve"> Bowie | </w:t>
      </w:r>
      <w:proofErr w:type="spellStart"/>
      <w:r>
        <w:t>Lampeter</w:t>
      </w:r>
      <w:proofErr w:type="spellEnd"/>
      <w:r>
        <w:t xml:space="preserve"> Campus </w:t>
      </w:r>
      <w:proofErr w:type="spellStart"/>
      <w:r>
        <w:t>President</w:t>
      </w:r>
      <w:proofErr w:type="spellEnd"/>
    </w:p>
    <w:p w14:paraId="672A6659" w14:textId="77777777" w:rsidR="004D534A" w:rsidRDefault="004D534A">
      <w:pPr>
        <w:pStyle w:val="BodyA"/>
        <w:jc w:val="center"/>
        <w:rPr>
          <w:rFonts w:hint="eastAsia"/>
        </w:rPr>
      </w:pPr>
    </w:p>
    <w:tbl>
      <w:tblPr>
        <w:tblW w:w="14572" w:type="dxa"/>
        <w:tblInd w:w="2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609"/>
        <w:gridCol w:w="2835"/>
        <w:gridCol w:w="2835"/>
        <w:gridCol w:w="2835"/>
        <w:gridCol w:w="2458"/>
      </w:tblGrid>
      <w:tr w:rsidR="004D534A" w14:paraId="10E4F41D" w14:textId="77777777" w:rsidTr="7A0F672D">
        <w:trPr>
          <w:trHeight w:val="300"/>
        </w:trPr>
        <w:tc>
          <w:tcPr>
            <w:tcW w:w="1457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2EBDD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Officer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Objectives</w:t>
            </w:r>
            <w:proofErr w:type="spellEnd"/>
            <w:r>
              <w:rPr>
                <w:b/>
                <w:bCs/>
              </w:rPr>
              <w:t xml:space="preserve"> &amp; SU </w:t>
            </w:r>
            <w:proofErr w:type="spellStart"/>
            <w:r>
              <w:rPr>
                <w:b/>
                <w:bCs/>
              </w:rPr>
              <w:t>Strategic</w:t>
            </w:r>
            <w:proofErr w:type="spellEnd"/>
            <w:r>
              <w:rPr>
                <w:b/>
                <w:bCs/>
              </w:rPr>
              <w:t xml:space="preserve"> Plan</w:t>
            </w:r>
          </w:p>
        </w:tc>
      </w:tr>
      <w:tr w:rsidR="004D534A" w14:paraId="4261F534" w14:textId="77777777" w:rsidTr="00F41AF1">
        <w:trPr>
          <w:trHeight w:val="484"/>
        </w:trPr>
        <w:tc>
          <w:tcPr>
            <w:tcW w:w="36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2D83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Sabbatical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Officer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Campaigns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460D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Knowing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Reaching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Members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58AF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Growing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Opportunities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A7E16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Amplifying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Strengthening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Voice</w:t>
            </w:r>
            <w:proofErr w:type="spellEnd"/>
          </w:p>
        </w:tc>
        <w:tc>
          <w:tcPr>
            <w:tcW w:w="24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BEEC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Making</w:t>
            </w:r>
            <w:proofErr w:type="spellEnd"/>
            <w:r>
              <w:rPr>
                <w:b/>
                <w:bCs/>
              </w:rPr>
              <w:t xml:space="preserve"> the Most of </w:t>
            </w:r>
            <w:proofErr w:type="spellStart"/>
            <w:r>
              <w:rPr>
                <w:b/>
                <w:bCs/>
              </w:rPr>
              <w:t>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Resources</w:t>
            </w:r>
            <w:proofErr w:type="spellEnd"/>
          </w:p>
        </w:tc>
      </w:tr>
      <w:tr w:rsidR="004D534A" w14:paraId="31C4B80C" w14:textId="77777777" w:rsidTr="00F41AF1">
        <w:trPr>
          <w:trHeight w:val="300"/>
        </w:trPr>
        <w:tc>
          <w:tcPr>
            <w:tcW w:w="36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A2619" w14:textId="2CD6555A" w:rsidR="004D534A" w:rsidRDefault="6058F87B" w:rsidP="3E8CCCC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Housing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501D" w14:textId="7EFD5F10" w:rsidR="004D534A" w:rsidRDefault="6058F87B" w:rsidP="3E8CCCCD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6C7B" w14:textId="5EB8DD3C" w:rsidR="004D534A" w:rsidRDefault="4EEE2CD7">
            <w:r>
              <w:t xml:space="preserve">                   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7D972845" w:rsidR="004D534A" w:rsidRDefault="004D534A">
            <w:pPr>
              <w:pStyle w:val="TableStyle2"/>
              <w:jc w:val="center"/>
              <w:rPr>
                <w:rFonts w:hint="eastAsia"/>
              </w:rPr>
            </w:pPr>
          </w:p>
        </w:tc>
        <w:tc>
          <w:tcPr>
            <w:tcW w:w="24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103F4F91" w:rsidR="004D534A" w:rsidRDefault="168685D8">
            <w:r>
              <w:t xml:space="preserve">  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D534A" w14:paraId="6924F890" w14:textId="77777777" w:rsidTr="00F41AF1">
        <w:trPr>
          <w:trHeight w:val="484"/>
        </w:trPr>
        <w:tc>
          <w:tcPr>
            <w:tcW w:w="36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52D56" w14:textId="7B9C3116" w:rsidR="004D534A" w:rsidRDefault="6CEEF927" w:rsidP="3E8CCCC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Mental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4B1183A8" w:rsidR="004D534A" w:rsidRDefault="29C45A63">
            <w:pPr>
              <w:pStyle w:val="TableStyle2"/>
              <w:jc w:val="center"/>
              <w:rPr>
                <w:rFonts w:hint="eastAsia"/>
              </w:rPr>
            </w:pPr>
            <w:r>
              <w:t xml:space="preserve">X 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7A4EAD9E" w:rsidR="004D534A" w:rsidRDefault="29C45A63" w:rsidP="3E8CCCCD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46E1F202" w:rsidR="004D534A" w:rsidRDefault="29C45A63" w:rsidP="7A0F672D">
            <w:pPr>
              <w:spacing w:line="259" w:lineRule="auto"/>
            </w:pPr>
            <w:r>
              <w:t>X</w:t>
            </w:r>
          </w:p>
        </w:tc>
        <w:tc>
          <w:tcPr>
            <w:tcW w:w="24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2CF6D14B" w:rsidR="004D534A" w:rsidRDefault="29C45A63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</w:tr>
      <w:tr w:rsidR="004D534A" w14:paraId="1F5AB352" w14:textId="77777777" w:rsidTr="00F41AF1">
        <w:trPr>
          <w:trHeight w:val="484"/>
        </w:trPr>
        <w:tc>
          <w:tcPr>
            <w:tcW w:w="36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44880" w14:textId="7BEE78BD" w:rsidR="004D534A" w:rsidRDefault="4D1B77B5">
            <w:pPr>
              <w:pStyle w:val="TableStyle2"/>
              <w:jc w:val="center"/>
              <w:rPr>
                <w:rFonts w:hint="eastAsia"/>
              </w:rPr>
            </w:pPr>
            <w:r>
              <w:t xml:space="preserve">Green </w:t>
            </w:r>
            <w:proofErr w:type="spellStart"/>
            <w:r>
              <w:t>Policy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669" w14:textId="27280831" w:rsidR="004D534A" w:rsidRDefault="3A057D1F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B9AB" w14:textId="27A7E5B1" w:rsidR="004D534A" w:rsidRDefault="004D534A" w:rsidP="0907AE29">
            <w:pPr>
              <w:jc w:val="center"/>
            </w:pP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77BBAB67" w:rsidR="004D534A" w:rsidRDefault="3A057D1F" w:rsidP="7A0F672D">
            <w:pPr>
              <w:pStyle w:val="TableStyle2"/>
              <w:spacing w:line="259" w:lineRule="auto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4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31CB" w14:textId="745B65C1" w:rsidR="004D534A" w:rsidRDefault="3A057D1F" w:rsidP="0907AE29">
            <w:pPr>
              <w:jc w:val="center"/>
            </w:pPr>
            <w:r>
              <w:t>X</w:t>
            </w:r>
          </w:p>
        </w:tc>
      </w:tr>
      <w:tr w:rsidR="7A0F672D" w14:paraId="05D0AF2D" w14:textId="77777777" w:rsidTr="00F41AF1">
        <w:trPr>
          <w:trHeight w:val="484"/>
        </w:trPr>
        <w:tc>
          <w:tcPr>
            <w:tcW w:w="36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0679" w14:textId="2CB6960A" w:rsidR="4AFC94CE" w:rsidRDefault="4AFC94CE" w:rsidP="7A0F672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Sport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Soc</w:t>
            </w:r>
            <w:proofErr w:type="spellEnd"/>
            <w:r>
              <w:t xml:space="preserve"> </w:t>
            </w:r>
            <w:proofErr w:type="spellStart"/>
            <w:r>
              <w:t>Accreditation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126D" w14:textId="7EF22A12" w:rsidR="4AFC94CE" w:rsidRDefault="4AFC94CE" w:rsidP="7A0F672D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EBC15" w14:textId="39370B16" w:rsidR="4AFC94CE" w:rsidRDefault="4AFC94CE" w:rsidP="7A0F672D">
            <w:pPr>
              <w:jc w:val="center"/>
            </w:pPr>
            <w:r>
              <w:t>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1797F" w14:textId="4F59A28C" w:rsidR="7A0F672D" w:rsidRDefault="7A0F672D" w:rsidP="7A0F672D">
            <w:pPr>
              <w:pStyle w:val="TableStyle2"/>
              <w:jc w:val="center"/>
              <w:rPr>
                <w:rFonts w:hint="eastAsia"/>
              </w:rPr>
            </w:pPr>
          </w:p>
        </w:tc>
        <w:tc>
          <w:tcPr>
            <w:tcW w:w="24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9078" w14:textId="6C591462" w:rsidR="4AFC94CE" w:rsidRDefault="4AFC94CE" w:rsidP="7A0F672D">
            <w:pPr>
              <w:jc w:val="center"/>
            </w:pPr>
            <w:r>
              <w:t>X</w:t>
            </w:r>
          </w:p>
        </w:tc>
      </w:tr>
      <w:tr w:rsidR="7A0F672D" w14:paraId="69B53409" w14:textId="77777777" w:rsidTr="00F41AF1">
        <w:trPr>
          <w:trHeight w:val="484"/>
        </w:trPr>
        <w:tc>
          <w:tcPr>
            <w:tcW w:w="36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D9CF" w14:textId="204B6F3E" w:rsidR="4AFC94CE" w:rsidRDefault="4AFC94CE" w:rsidP="7A0F672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Distance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International </w:t>
            </w:r>
            <w:proofErr w:type="spellStart"/>
            <w:r>
              <w:t>Community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55583" w14:textId="20CE8CAC" w:rsidR="4AFC94CE" w:rsidRDefault="4AFC94CE" w:rsidP="7A0F672D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7B7DB" w14:textId="764F24DF" w:rsidR="7A0F672D" w:rsidRDefault="7A0F672D" w:rsidP="7A0F672D">
            <w:pPr>
              <w:jc w:val="center"/>
            </w:pP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B377B" w14:textId="1DA86A9A" w:rsidR="4AFC94CE" w:rsidRDefault="4AFC94CE" w:rsidP="7A0F672D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4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56B79" w14:textId="3D791CC9" w:rsidR="7A0F672D" w:rsidRDefault="7A0F672D" w:rsidP="7A0F672D">
            <w:pPr>
              <w:jc w:val="center"/>
            </w:pPr>
          </w:p>
        </w:tc>
      </w:tr>
      <w:tr w:rsidR="7A0F672D" w14:paraId="5DF3CEBD" w14:textId="77777777" w:rsidTr="00F41AF1">
        <w:trPr>
          <w:trHeight w:val="484"/>
        </w:trPr>
        <w:tc>
          <w:tcPr>
            <w:tcW w:w="36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B4830" w14:textId="77117432" w:rsidR="4AFC94CE" w:rsidRDefault="4AFC94CE" w:rsidP="7A0F672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Accessibility</w:t>
            </w:r>
            <w:proofErr w:type="spellEnd"/>
            <w:r>
              <w:t xml:space="preserve"> (</w:t>
            </w: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Financial) 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74CE8" w14:textId="35991FA8" w:rsidR="4AFC94CE" w:rsidRDefault="4AFC94CE" w:rsidP="7A0F672D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37B7C" w14:textId="50BADF29" w:rsidR="4AFC94CE" w:rsidRDefault="4AFC94CE" w:rsidP="7A0F672D">
            <w:pPr>
              <w:jc w:val="center"/>
            </w:pPr>
            <w:r>
              <w:t>X</w:t>
            </w:r>
          </w:p>
        </w:tc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89A1C" w14:textId="66498EF0" w:rsidR="4AFC94CE" w:rsidRDefault="4AFC94CE" w:rsidP="7A0F672D">
            <w:pPr>
              <w:pStyle w:val="TableStyle2"/>
              <w:jc w:val="center"/>
              <w:rPr>
                <w:rFonts w:hint="eastAsia"/>
              </w:rPr>
            </w:pPr>
            <w:r>
              <w:t>X</w:t>
            </w:r>
          </w:p>
        </w:tc>
        <w:tc>
          <w:tcPr>
            <w:tcW w:w="24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D58D0" w14:textId="33953F1C" w:rsidR="4AFC94CE" w:rsidRDefault="4AFC94CE" w:rsidP="7A0F672D">
            <w:pPr>
              <w:jc w:val="center"/>
            </w:pPr>
            <w:r>
              <w:t>X</w:t>
            </w:r>
          </w:p>
        </w:tc>
      </w:tr>
    </w:tbl>
    <w:p w14:paraId="4DDBEF00" w14:textId="2DE5AE5F" w:rsidR="004D534A" w:rsidRDefault="004D534A">
      <w:pPr>
        <w:pStyle w:val="BodyA"/>
        <w:rPr>
          <w:rFonts w:hint="eastAsia"/>
        </w:rPr>
      </w:pPr>
    </w:p>
    <w:p w14:paraId="3461D779" w14:textId="77777777" w:rsidR="004D534A" w:rsidRDefault="004D534A">
      <w:pPr>
        <w:pStyle w:val="BodyA"/>
        <w:rPr>
          <w:rFonts w:hint="eastAsia"/>
        </w:rPr>
      </w:pPr>
    </w:p>
    <w:tbl>
      <w:tblPr>
        <w:tblW w:w="14567" w:type="dxa"/>
        <w:tblInd w:w="2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743"/>
        <w:gridCol w:w="9824"/>
      </w:tblGrid>
      <w:tr w:rsidR="004D534A" w14:paraId="6EC57E00" w14:textId="77777777" w:rsidTr="7A0F672D">
        <w:trPr>
          <w:trHeight w:val="300"/>
        </w:trPr>
        <w:tc>
          <w:tcPr>
            <w:tcW w:w="14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ED37" w14:textId="77777777" w:rsidR="004D534A" w:rsidRDefault="00DA3E77">
            <w:pPr>
              <w:pStyle w:val="BodyA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Specific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Campaign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Objective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Updates</w:t>
            </w:r>
            <w:proofErr w:type="spellEnd"/>
          </w:p>
        </w:tc>
      </w:tr>
      <w:tr w:rsidR="004D534A" w14:paraId="68A72626" w14:textId="77777777" w:rsidTr="00F41AF1">
        <w:trPr>
          <w:trHeight w:val="300"/>
        </w:trPr>
        <w:tc>
          <w:tcPr>
            <w:tcW w:w="4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3B808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Campaign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Objective</w:t>
            </w:r>
            <w:proofErr w:type="spellEnd"/>
          </w:p>
        </w:tc>
        <w:tc>
          <w:tcPr>
            <w:tcW w:w="9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6212" w14:textId="77777777" w:rsidR="004D534A" w:rsidRDefault="00DA3E77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</w:rPr>
              <w:t>Update</w:t>
            </w:r>
            <w:proofErr w:type="spellEnd"/>
          </w:p>
        </w:tc>
      </w:tr>
      <w:tr w:rsidR="004D534A" w14:paraId="3CF2D8B6" w14:textId="77777777" w:rsidTr="00F41AF1">
        <w:trPr>
          <w:trHeight w:val="484"/>
        </w:trPr>
        <w:tc>
          <w:tcPr>
            <w:tcW w:w="4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8278" w14:textId="53FCC095" w:rsidR="004D534A" w:rsidRDefault="16F931B7" w:rsidP="3E8CCCC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Mental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– </w:t>
            </w:r>
            <w:proofErr w:type="spellStart"/>
            <w:r>
              <w:t>Mental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resource</w:t>
            </w:r>
            <w:proofErr w:type="spellEnd"/>
            <w:r>
              <w:t xml:space="preserve"> </w:t>
            </w:r>
            <w:proofErr w:type="spellStart"/>
            <w:r>
              <w:t>collation</w:t>
            </w:r>
            <w:proofErr w:type="spellEnd"/>
          </w:p>
        </w:tc>
        <w:tc>
          <w:tcPr>
            <w:tcW w:w="9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9945" w14:textId="63781431" w:rsidR="004D534A" w:rsidRDefault="16F931B7" w:rsidP="3E8CCCCD">
            <w:pPr>
              <w:pStyle w:val="TableStyle2"/>
              <w:rPr>
                <w:rFonts w:hint="eastAsia"/>
              </w:rPr>
            </w:pPr>
            <w:proofErr w:type="spellStart"/>
            <w:r>
              <w:t>Since</w:t>
            </w:r>
            <w:proofErr w:type="spellEnd"/>
            <w:r>
              <w:t xml:space="preserve"> </w:t>
            </w:r>
            <w:proofErr w:type="spellStart"/>
            <w:r>
              <w:t>launching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MHW </w:t>
            </w:r>
            <w:proofErr w:type="spellStart"/>
            <w:r>
              <w:t>Campaign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October</w:t>
            </w:r>
            <w:proofErr w:type="spellEnd"/>
            <w:r>
              <w:t xml:space="preserve">, we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collated</w:t>
            </w:r>
            <w:proofErr w:type="spellEnd"/>
            <w:r>
              <w:t xml:space="preserve"> a </w:t>
            </w: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resources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I am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Hwb to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the Hwb </w:t>
            </w:r>
            <w:proofErr w:type="spellStart"/>
            <w:r>
              <w:t>app</w:t>
            </w:r>
            <w:proofErr w:type="spellEnd"/>
            <w:r>
              <w:t xml:space="preserve"> </w:t>
            </w:r>
            <w:proofErr w:type="spellStart"/>
            <w:r>
              <w:t>so</w:t>
            </w:r>
            <w:proofErr w:type="spellEnd"/>
            <w:r>
              <w:t xml:space="preserve"> all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sites</w:t>
            </w:r>
            <w:proofErr w:type="spellEnd"/>
            <w:r>
              <w:t xml:space="preserve"> can </w:t>
            </w:r>
            <w:proofErr w:type="spellStart"/>
            <w:r>
              <w:t>access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at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.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includes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planners</w:t>
            </w:r>
            <w:proofErr w:type="spellEnd"/>
            <w:r>
              <w:t xml:space="preserve">, </w:t>
            </w:r>
            <w:proofErr w:type="spellStart"/>
            <w:r>
              <w:t>interviews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lecturers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types</w:t>
            </w:r>
            <w:proofErr w:type="spellEnd"/>
            <w:r>
              <w:t xml:space="preserve"> </w:t>
            </w:r>
            <w:proofErr w:type="spellStart"/>
            <w:r>
              <w:t>regardless</w:t>
            </w:r>
            <w:proofErr w:type="spellEnd"/>
            <w:r>
              <w:t xml:space="preserve"> of </w:t>
            </w:r>
            <w:proofErr w:type="spellStart"/>
            <w:r>
              <w:t>discipline</w:t>
            </w:r>
            <w:proofErr w:type="spellEnd"/>
            <w:r>
              <w:t xml:space="preserve">, </w:t>
            </w:r>
            <w:proofErr w:type="spellStart"/>
            <w:r>
              <w:t>among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wellbeing</w:t>
            </w:r>
            <w:proofErr w:type="spellEnd"/>
            <w:r>
              <w:t xml:space="preserve"> </w:t>
            </w:r>
            <w:proofErr w:type="spellStart"/>
            <w:r>
              <w:t>resources</w:t>
            </w:r>
            <w:proofErr w:type="spellEnd"/>
            <w:r>
              <w:t xml:space="preserve">. We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planning</w:t>
            </w:r>
            <w:proofErr w:type="spellEnd"/>
            <w:r>
              <w:t xml:space="preserve"> to </w:t>
            </w:r>
            <w:proofErr w:type="spellStart"/>
            <w:r>
              <w:t>relaunch</w:t>
            </w:r>
            <w:proofErr w:type="spellEnd"/>
            <w:r>
              <w:t>/</w:t>
            </w:r>
            <w:proofErr w:type="spellStart"/>
            <w:r>
              <w:t>advertise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resources</w:t>
            </w:r>
            <w:proofErr w:type="spellEnd"/>
            <w:r>
              <w:t xml:space="preserve"> </w:t>
            </w:r>
            <w:proofErr w:type="spellStart"/>
            <w:r>
              <w:t>further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second</w:t>
            </w:r>
            <w:proofErr w:type="spellEnd"/>
            <w:r>
              <w:t xml:space="preserve"> semester, </w:t>
            </w:r>
            <w:proofErr w:type="spellStart"/>
            <w:r>
              <w:t>once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return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Christmas</w:t>
            </w:r>
            <w:proofErr w:type="spellEnd"/>
            <w:r>
              <w:t xml:space="preserve"> </w:t>
            </w:r>
            <w:proofErr w:type="spellStart"/>
            <w:r>
              <w:t>break</w:t>
            </w:r>
            <w:proofErr w:type="spellEnd"/>
            <w:r>
              <w:t xml:space="preserve">. We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be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wellbeing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  <w:r>
              <w:t xml:space="preserve"> to be </w:t>
            </w:r>
            <w:proofErr w:type="spellStart"/>
            <w:r>
              <w:t>included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isolation</w:t>
            </w:r>
            <w:proofErr w:type="spellEnd"/>
            <w:r>
              <w:t xml:space="preserve"> </w:t>
            </w:r>
            <w:proofErr w:type="spellStart"/>
            <w:r>
              <w:t>packs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to </w:t>
            </w:r>
            <w:proofErr w:type="spellStart"/>
            <w:r>
              <w:t>students</w:t>
            </w:r>
            <w:proofErr w:type="spellEnd"/>
            <w:r>
              <w:t xml:space="preserve">. </w:t>
            </w:r>
          </w:p>
        </w:tc>
      </w:tr>
      <w:tr w:rsidR="004D534A" w14:paraId="0562CB0E" w14:textId="77777777" w:rsidTr="00F41AF1">
        <w:trPr>
          <w:trHeight w:val="964"/>
        </w:trPr>
        <w:tc>
          <w:tcPr>
            <w:tcW w:w="4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E0A41" w14:textId="05F648E4" w:rsidR="004D534A" w:rsidRDefault="2BCF0E0F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lastRenderedPageBreak/>
              <w:t>Housing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– </w:t>
            </w:r>
            <w:proofErr w:type="spellStart"/>
            <w:r>
              <w:t>Campaign</w:t>
            </w:r>
            <w:proofErr w:type="spellEnd"/>
            <w:r>
              <w:t xml:space="preserve"> </w:t>
            </w:r>
            <w:proofErr w:type="spellStart"/>
            <w:r>
              <w:t>launch</w:t>
            </w:r>
            <w:proofErr w:type="spellEnd"/>
          </w:p>
        </w:tc>
        <w:tc>
          <w:tcPr>
            <w:tcW w:w="9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BF3C5" w14:textId="1BC2C91C" w:rsidR="004D534A" w:rsidRDefault="4324072C" w:rsidP="3E8CCCCD">
            <w:pPr>
              <w:pStyle w:val="TableStyle2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As of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October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housing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campaign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launched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fully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We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launching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with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‘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Housing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Horror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Stories’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event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that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aims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show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issues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common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with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off-site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accommodation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We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then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launch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interactive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 am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process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developing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with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design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team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that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enable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rate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aspects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property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during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viewing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as well as record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key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information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then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emailed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them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easy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comparison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We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aim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launch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December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allow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who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look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off-site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accommodation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semester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two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use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it. We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also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breaking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down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updating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Accomodation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handbook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put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together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previous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Sabb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teams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make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it more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accessible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easier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navigate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also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become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available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Union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website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</w:tr>
      <w:tr w:rsidR="7A0F672D" w14:paraId="593AD6EE" w14:textId="77777777" w:rsidTr="00F41AF1">
        <w:trPr>
          <w:trHeight w:val="964"/>
        </w:trPr>
        <w:tc>
          <w:tcPr>
            <w:tcW w:w="4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13412" w14:textId="7513BE65" w:rsidR="2BCF0E0F" w:rsidRDefault="2BCF0E0F" w:rsidP="7A0F672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Accessibility</w:t>
            </w:r>
            <w:proofErr w:type="spellEnd"/>
            <w:r>
              <w:t xml:space="preserve"> (Financial)</w:t>
            </w:r>
          </w:p>
        </w:tc>
        <w:tc>
          <w:tcPr>
            <w:tcW w:w="9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46429" w14:textId="6D2944B6" w:rsidR="27651832" w:rsidRDefault="27651832" w:rsidP="7A0F672D">
            <w:pPr>
              <w:pStyle w:val="TableStyle2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worked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with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finance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team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early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academic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year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address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issues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around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PG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Fee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payments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ensuring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system is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updated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reflect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loan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payments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initial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intention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was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secure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blanket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payment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plan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pay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their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tuition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equal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installments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however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due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way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awarding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qualifications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works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at PG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level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impossible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As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result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I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worked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with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Finance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produce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infographics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how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payments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are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made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reasoning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behind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that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PG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information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at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beginning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their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studies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</w:tr>
      <w:tr w:rsidR="7A0F672D" w14:paraId="74F7C85F" w14:textId="77777777" w:rsidTr="00F41AF1">
        <w:trPr>
          <w:trHeight w:val="964"/>
        </w:trPr>
        <w:tc>
          <w:tcPr>
            <w:tcW w:w="4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49863" w14:textId="04F8AD30" w:rsidR="343B06F8" w:rsidRDefault="343B06F8" w:rsidP="7A0F672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Accessibility</w:t>
            </w:r>
            <w:proofErr w:type="spellEnd"/>
            <w:r>
              <w:t xml:space="preserve"> (</w:t>
            </w:r>
            <w:proofErr w:type="spellStart"/>
            <w:r>
              <w:t>Physical</w:t>
            </w:r>
            <w:proofErr w:type="spellEnd"/>
            <w:r>
              <w:t>)</w:t>
            </w:r>
          </w:p>
        </w:tc>
        <w:tc>
          <w:tcPr>
            <w:tcW w:w="9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14A91" w14:textId="5E40FF67" w:rsidR="343B06F8" w:rsidRDefault="343B06F8" w:rsidP="7A0F672D">
            <w:pPr>
              <w:pStyle w:val="TableStyle2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intended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launch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accessibility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survey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Lampeter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campus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earlier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month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however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Disability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Lampeter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campus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expressed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interest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involved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process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survey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been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put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short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hold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while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PTO’s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undergo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training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survey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launched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soon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training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completed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survey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address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issues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such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disability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parking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access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lecture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rooms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accessible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accommodation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appropriate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dropped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curbs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room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allocations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</w:tr>
      <w:tr w:rsidR="7A0F672D" w14:paraId="15C6D5BC" w14:textId="77777777" w:rsidTr="00F41AF1">
        <w:trPr>
          <w:trHeight w:val="964"/>
        </w:trPr>
        <w:tc>
          <w:tcPr>
            <w:tcW w:w="4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3DC31" w14:textId="1D830693" w:rsidR="05180A11" w:rsidRDefault="05180A11" w:rsidP="7A0F672D">
            <w:pPr>
              <w:pStyle w:val="TableStyle2"/>
              <w:jc w:val="center"/>
              <w:rPr>
                <w:rFonts w:hint="eastAsia"/>
              </w:rPr>
            </w:pPr>
            <w:r>
              <w:t xml:space="preserve">Green </w:t>
            </w:r>
            <w:proofErr w:type="spellStart"/>
            <w:r>
              <w:t>Policy</w:t>
            </w:r>
            <w:proofErr w:type="spellEnd"/>
            <w:r>
              <w:t xml:space="preserve"> – </w:t>
            </w:r>
            <w:proofErr w:type="spellStart"/>
            <w:r>
              <w:t>Paper</w:t>
            </w:r>
            <w:proofErr w:type="spellEnd"/>
            <w:r>
              <w:t xml:space="preserve"> </w:t>
            </w:r>
            <w:proofErr w:type="spellStart"/>
            <w:r>
              <w:t>Waste</w:t>
            </w:r>
            <w:proofErr w:type="spellEnd"/>
          </w:p>
        </w:tc>
        <w:tc>
          <w:tcPr>
            <w:tcW w:w="9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6BD0" w14:textId="6E2F9DCC" w:rsidR="05180A11" w:rsidRDefault="05180A11" w:rsidP="7A0F672D">
            <w:pPr>
              <w:pStyle w:val="TableStyle2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aim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green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policy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was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address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paper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waste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as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result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elections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lectures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aim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is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put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forward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policy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consideration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at campus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council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propose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opt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out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system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hand-outs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classes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staff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only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print/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produce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physical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copies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those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who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need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them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opposed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printing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enough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full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class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If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passed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at campus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council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it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will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presented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university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council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pass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into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policy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While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context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COVID,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handout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production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significantly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lessened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intend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pursue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policy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semester's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council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</w:tr>
      <w:tr w:rsidR="7A0F672D" w14:paraId="63988DD3" w14:textId="77777777" w:rsidTr="00F41AF1">
        <w:trPr>
          <w:trHeight w:val="964"/>
        </w:trPr>
        <w:tc>
          <w:tcPr>
            <w:tcW w:w="4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F15C6" w14:textId="3C10FDDC" w:rsidR="1F6CA476" w:rsidRDefault="1F6CA476" w:rsidP="7A0F672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t>Sport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Society </w:t>
            </w:r>
            <w:proofErr w:type="spellStart"/>
            <w:r>
              <w:t>Accreditation</w:t>
            </w:r>
            <w:proofErr w:type="spellEnd"/>
          </w:p>
        </w:tc>
        <w:tc>
          <w:tcPr>
            <w:tcW w:w="9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CDBF1" w14:textId="6E7B397C" w:rsidR="1F6CA476" w:rsidRDefault="1F6CA476" w:rsidP="7A0F672D">
            <w:pPr>
              <w:pStyle w:val="TableStyle2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Given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current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COVID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context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I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chosen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postpone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work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until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we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better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understanding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when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what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capacity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our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clubs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return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training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meeting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7A0F672D" w14:paraId="5BCBF1DB" w14:textId="77777777" w:rsidTr="00F41AF1">
        <w:trPr>
          <w:trHeight w:val="964"/>
        </w:trPr>
        <w:tc>
          <w:tcPr>
            <w:tcW w:w="47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9194B" w14:textId="696512B4" w:rsidR="1F6CA476" w:rsidRDefault="1F6CA476" w:rsidP="7A0F672D">
            <w:pPr>
              <w:pStyle w:val="TableStyle2"/>
              <w:jc w:val="center"/>
              <w:rPr>
                <w:rFonts w:hint="eastAsia"/>
              </w:rPr>
            </w:pPr>
            <w:proofErr w:type="spellStart"/>
            <w:r>
              <w:lastRenderedPageBreak/>
              <w:t>Distance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International </w:t>
            </w:r>
            <w:proofErr w:type="spellStart"/>
            <w:r>
              <w:t>inclusivity</w:t>
            </w:r>
            <w:proofErr w:type="spellEnd"/>
            <w:r>
              <w:t>/</w:t>
            </w:r>
            <w:proofErr w:type="spellStart"/>
            <w:r>
              <w:t>community</w:t>
            </w:r>
            <w:proofErr w:type="spellEnd"/>
          </w:p>
        </w:tc>
        <w:tc>
          <w:tcPr>
            <w:tcW w:w="98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958F" w14:textId="32933C46" w:rsidR="1F6CA476" w:rsidRDefault="1F6CA476" w:rsidP="7A0F672D">
            <w:pPr>
              <w:pStyle w:val="TableStyle2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Given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current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COVID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context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initial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plans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had to be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re-examined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unfortunately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meant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that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there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little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progress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area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currently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However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I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believe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it is more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important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than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ever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that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our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Distance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International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feel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included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student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population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aim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new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plan of action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finalized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by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end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this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semester 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implement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new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year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</w:tr>
    </w:tbl>
    <w:p w14:paraId="7E61BEC8" w14:textId="4027BFB3" w:rsidR="767EDD98" w:rsidRDefault="767EDD98" w:rsidP="0A5B4F28"/>
    <w:p w14:paraId="52E56223" w14:textId="3E0BC5A8" w:rsidR="004D534A" w:rsidRDefault="004D534A">
      <w:pPr>
        <w:pStyle w:val="BodyA"/>
        <w:rPr>
          <w:rFonts w:hint="eastAsia"/>
        </w:rPr>
      </w:pPr>
    </w:p>
    <w:p w14:paraId="3AED44BC" w14:textId="32AB962A" w:rsidR="23B6361C" w:rsidRDefault="09E37D77" w:rsidP="3E8CCCCD">
      <w:pPr>
        <w:pStyle w:val="BodyA"/>
        <w:rPr>
          <w:rFonts w:hint="eastAsia"/>
          <w:b/>
          <w:bCs/>
          <w:u w:val="single"/>
        </w:rPr>
      </w:pPr>
      <w:proofErr w:type="spellStart"/>
      <w:r>
        <w:rPr>
          <w:b/>
          <w:bCs/>
          <w:u w:val="single"/>
        </w:rPr>
        <w:t>Emergent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Themes</w:t>
      </w:r>
      <w:proofErr w:type="spellEnd"/>
      <w:r>
        <w:rPr>
          <w:b/>
          <w:bCs/>
          <w:u w:val="single"/>
        </w:rPr>
        <w:t xml:space="preserve"> &amp; </w:t>
      </w:r>
      <w:proofErr w:type="spellStart"/>
      <w:r>
        <w:rPr>
          <w:b/>
          <w:bCs/>
          <w:u w:val="single"/>
        </w:rPr>
        <w:t>Student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Feedback</w:t>
      </w:r>
      <w:proofErr w:type="spellEnd"/>
      <w:r>
        <w:rPr>
          <w:b/>
          <w:bCs/>
          <w:u w:val="single"/>
        </w:rPr>
        <w:t xml:space="preserve">: </w:t>
      </w:r>
      <w:r>
        <w:rPr>
          <w:b/>
          <w:bCs/>
        </w:rPr>
        <w:t xml:space="preserve"> </w:t>
      </w:r>
    </w:p>
    <w:p w14:paraId="046F3295" w14:textId="23449CCF" w:rsidR="3E8CCCCD" w:rsidRDefault="2380746C" w:rsidP="7A0F672D">
      <w:pPr>
        <w:pStyle w:val="BodyA"/>
        <w:numPr>
          <w:ilvl w:val="0"/>
          <w:numId w:val="2"/>
        </w:numPr>
        <w:rPr>
          <w:rFonts w:eastAsia="Helvetica Neue" w:cs="Helvetica Neue"/>
          <w:b/>
          <w:bCs/>
          <w:color w:val="000000" w:themeColor="text1"/>
        </w:rPr>
      </w:pPr>
      <w:proofErr w:type="spellStart"/>
      <w:r>
        <w:rPr>
          <w:b/>
          <w:bCs/>
        </w:rPr>
        <w:t>Common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Modules</w:t>
      </w:r>
      <w:proofErr w:type="spellEnd"/>
      <w:r>
        <w:rPr>
          <w:b/>
          <w:bCs/>
        </w:rPr>
        <w:t xml:space="preserve"> -</w:t>
      </w:r>
      <w:r>
        <w:t xml:space="preserve"> We had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outcry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the </w:t>
      </w:r>
      <w:proofErr w:type="spellStart"/>
      <w:r>
        <w:t>introduction</w:t>
      </w:r>
      <w:proofErr w:type="spellEnd"/>
      <w:r>
        <w:t xml:space="preserve"> of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modules</w:t>
      </w:r>
      <w:proofErr w:type="spellEnd"/>
      <w:r>
        <w:t xml:space="preserve">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main </w:t>
      </w:r>
      <w:proofErr w:type="spellStart"/>
      <w:r>
        <w:t>themes</w:t>
      </w:r>
      <w:proofErr w:type="spellEnd"/>
      <w:r>
        <w:t xml:space="preserve">;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relevancy</w:t>
      </w:r>
      <w:proofErr w:type="spellEnd"/>
      <w:r>
        <w:t xml:space="preserve">, the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assumed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consultation</w:t>
      </w:r>
      <w:proofErr w:type="spellEnd"/>
      <w:r>
        <w:t xml:space="preserve">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, </w:t>
      </w:r>
      <w:proofErr w:type="spellStart"/>
      <w:r>
        <w:t>academic</w:t>
      </w:r>
      <w:proofErr w:type="spellEnd"/>
      <w:r>
        <w:t xml:space="preserve"> staff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 to </w:t>
      </w:r>
      <w:proofErr w:type="spellStart"/>
      <w:r>
        <w:t>tailor</w:t>
      </w:r>
      <w:proofErr w:type="spellEnd"/>
      <w:r>
        <w:t xml:space="preserve"> the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of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modules</w:t>
      </w:r>
      <w:proofErr w:type="spellEnd"/>
      <w:r>
        <w:t xml:space="preserve"> to </w:t>
      </w:r>
      <w:proofErr w:type="spellStart"/>
      <w:r>
        <w:t>resolve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I am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staff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modules</w:t>
      </w:r>
      <w:proofErr w:type="spellEnd"/>
      <w:r>
        <w:t xml:space="preserve"> to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at the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level</w:t>
      </w:r>
      <w:proofErr w:type="spellEnd"/>
      <w:r>
        <w:t>.</w:t>
      </w:r>
    </w:p>
    <w:p w14:paraId="43536D2E" w14:textId="22517ACE" w:rsidR="2380746C" w:rsidRDefault="2380746C" w:rsidP="7A0F672D">
      <w:pPr>
        <w:pStyle w:val="BodyA"/>
        <w:numPr>
          <w:ilvl w:val="0"/>
          <w:numId w:val="2"/>
        </w:numPr>
        <w:rPr>
          <w:rFonts w:hint="eastAsia"/>
          <w:b/>
          <w:bCs/>
          <w:color w:val="000000" w:themeColor="text1"/>
        </w:rPr>
      </w:pPr>
      <w:proofErr w:type="spellStart"/>
      <w:r>
        <w:rPr>
          <w:b/>
          <w:bCs/>
        </w:rPr>
        <w:t>Wifi</w:t>
      </w:r>
      <w:proofErr w:type="spellEnd"/>
      <w:r>
        <w:rPr>
          <w:b/>
          <w:bCs/>
        </w:rPr>
        <w:t xml:space="preserve"> – </w:t>
      </w:r>
      <w:proofErr w:type="spellStart"/>
      <w:r>
        <w:t>Due</w:t>
      </w:r>
      <w:proofErr w:type="spellEnd"/>
      <w:r>
        <w:t xml:space="preserve"> to the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strain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Eduroam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connectivity</w:t>
      </w:r>
      <w:proofErr w:type="spellEnd"/>
      <w:r>
        <w:t xml:space="preserve">. A </w:t>
      </w:r>
      <w:proofErr w:type="spellStart"/>
      <w:r>
        <w:t>poll</w:t>
      </w:r>
      <w:proofErr w:type="spellEnd"/>
      <w:r>
        <w:t xml:space="preserve"> was </w:t>
      </w:r>
      <w:proofErr w:type="spellStart"/>
      <w:r>
        <w:t>issued</w:t>
      </w:r>
      <w:proofErr w:type="spellEnd"/>
      <w:r>
        <w:t xml:space="preserve"> to </w:t>
      </w:r>
      <w:proofErr w:type="spellStart"/>
      <w:r>
        <w:t>discover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isolated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or campus </w:t>
      </w:r>
      <w:proofErr w:type="spellStart"/>
      <w:r>
        <w:t>wide</w:t>
      </w:r>
      <w:proofErr w:type="spellEnd"/>
      <w:r>
        <w:t xml:space="preserve">. It </w:t>
      </w:r>
      <w:proofErr w:type="spellStart"/>
      <w:r>
        <w:t>appears</w:t>
      </w:r>
      <w:proofErr w:type="spellEnd"/>
      <w:r>
        <w:t xml:space="preserve"> to be a campus </w:t>
      </w:r>
      <w:proofErr w:type="spellStart"/>
      <w:r>
        <w:t>wide</w:t>
      </w:r>
      <w:proofErr w:type="spellEnd"/>
      <w:r>
        <w:t xml:space="preserve"> dip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connectivity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IT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rectifying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installing</w:t>
      </w:r>
      <w:proofErr w:type="spellEnd"/>
      <w:r>
        <w:t xml:space="preserve"> more </w:t>
      </w:r>
      <w:proofErr w:type="spellStart"/>
      <w:r>
        <w:t>routers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halls</w:t>
      </w:r>
      <w:proofErr w:type="spellEnd"/>
      <w:r>
        <w:t xml:space="preserve"> of </w:t>
      </w:r>
      <w:proofErr w:type="spellStart"/>
      <w:r>
        <w:t>residence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. I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rolled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the </w:t>
      </w:r>
      <w:proofErr w:type="spellStart"/>
      <w:r>
        <w:t>whole</w:t>
      </w:r>
      <w:proofErr w:type="spellEnd"/>
      <w:r>
        <w:t xml:space="preserve"> campus. </w:t>
      </w:r>
    </w:p>
    <w:p w14:paraId="2405A0EC" w14:textId="55AC259E" w:rsidR="2380746C" w:rsidRDefault="2380746C" w:rsidP="7A0F672D">
      <w:pPr>
        <w:pStyle w:val="BodyA"/>
        <w:numPr>
          <w:ilvl w:val="0"/>
          <w:numId w:val="2"/>
        </w:numPr>
        <w:rPr>
          <w:rFonts w:hint="eastAsia"/>
          <w:b/>
          <w:bCs/>
          <w:color w:val="000000" w:themeColor="text1"/>
        </w:rPr>
      </w:pPr>
      <w:proofErr w:type="spellStart"/>
      <w:r>
        <w:rPr>
          <w:b/>
          <w:bCs/>
        </w:rPr>
        <w:t>Accomodation</w:t>
      </w:r>
      <w:proofErr w:type="spellEnd"/>
      <w:r>
        <w:rPr>
          <w:b/>
          <w:bCs/>
        </w:rPr>
        <w:t xml:space="preserve"> –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Accomodation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was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to </w:t>
      </w:r>
      <w:proofErr w:type="spellStart"/>
      <w:r>
        <w:t>me</w:t>
      </w:r>
      <w:proofErr w:type="spellEnd"/>
      <w:r>
        <w:t xml:space="preserve">. </w:t>
      </w:r>
    </w:p>
    <w:p w14:paraId="4CEED54A" w14:textId="38589C99" w:rsidR="2380746C" w:rsidRDefault="2380746C" w:rsidP="7A0F672D">
      <w:pPr>
        <w:pStyle w:val="BodyA"/>
        <w:numPr>
          <w:ilvl w:val="0"/>
          <w:numId w:val="2"/>
        </w:numPr>
        <w:rPr>
          <w:rFonts w:hint="eastAsia"/>
          <w:b/>
          <w:bCs/>
          <w:color w:val="000000" w:themeColor="text1"/>
        </w:rPr>
      </w:pPr>
      <w:proofErr w:type="spellStart"/>
      <w:r>
        <w:rPr>
          <w:b/>
          <w:bCs/>
        </w:rPr>
        <w:t>Mental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Health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Support</w:t>
      </w:r>
      <w:proofErr w:type="spellEnd"/>
      <w:r>
        <w:rPr>
          <w:b/>
          <w:bCs/>
        </w:rPr>
        <w:t xml:space="preserve"> -</w:t>
      </w:r>
      <w:r>
        <w:t xml:space="preserve"> We had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the </w:t>
      </w:r>
      <w:proofErr w:type="spellStart"/>
      <w:r>
        <w:t>accessibility</w:t>
      </w:r>
      <w:proofErr w:type="spellEnd"/>
      <w:r>
        <w:t xml:space="preserve"> to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of staff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the </w:t>
      </w:r>
      <w:proofErr w:type="spellStart"/>
      <w:r>
        <w:t>switch</w:t>
      </w:r>
      <w:proofErr w:type="spellEnd"/>
      <w:r>
        <w:t xml:space="preserve"> to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the most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well </w:t>
      </w:r>
      <w:proofErr w:type="spellStart"/>
      <w:r>
        <w:t>received</w:t>
      </w:r>
      <w:proofErr w:type="spellEnd"/>
      <w:r>
        <w:t xml:space="preserve">; </w:t>
      </w:r>
      <w:proofErr w:type="spellStart"/>
      <w:r>
        <w:t>however</w:t>
      </w:r>
      <w:proofErr w:type="spellEnd"/>
      <w:r>
        <w:t xml:space="preserve"> 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staff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is </w:t>
      </w:r>
      <w:proofErr w:type="spellStart"/>
      <w:r>
        <w:t>available</w:t>
      </w:r>
      <w:proofErr w:type="spellEnd"/>
      <w:r>
        <w:t xml:space="preserve"> to all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is well </w:t>
      </w:r>
      <w:proofErr w:type="spellStart"/>
      <w:r>
        <w:t>advertised</w:t>
      </w:r>
      <w:proofErr w:type="spellEnd"/>
      <w:r>
        <w:t xml:space="preserve">. </w:t>
      </w:r>
    </w:p>
    <w:p w14:paraId="4B15291C" w14:textId="3CCEA753" w:rsidR="2380746C" w:rsidRDefault="2380746C" w:rsidP="7A0F672D">
      <w:pPr>
        <w:pStyle w:val="BodyA"/>
        <w:numPr>
          <w:ilvl w:val="0"/>
          <w:numId w:val="2"/>
        </w:numPr>
        <w:rPr>
          <w:rFonts w:hint="eastAsia"/>
          <w:b/>
          <w:bCs/>
          <w:color w:val="000000" w:themeColor="text1"/>
        </w:rPr>
      </w:pPr>
      <w:proofErr w:type="spellStart"/>
      <w:r>
        <w:rPr>
          <w:b/>
          <w:bCs/>
        </w:rPr>
        <w:t>Clubs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Society -</w:t>
      </w:r>
      <w:r>
        <w:t xml:space="preserve"> </w:t>
      </w:r>
      <w:proofErr w:type="spellStart"/>
      <w:r>
        <w:t>Clubs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Societies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impatient</w:t>
      </w:r>
      <w:proofErr w:type="spellEnd"/>
      <w:r>
        <w:t xml:space="preserve"> to </w:t>
      </w:r>
      <w:proofErr w:type="spellStart"/>
      <w:r>
        <w:t>return</w:t>
      </w:r>
      <w:proofErr w:type="spellEnd"/>
      <w:r>
        <w:t xml:space="preserve"> to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,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Rugby).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counterparts</w:t>
      </w:r>
      <w:proofErr w:type="spellEnd"/>
      <w:r>
        <w:t xml:space="preserve"> had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return</w:t>
      </w:r>
      <w:proofErr w:type="spellEnd"/>
      <w:r>
        <w:t xml:space="preserve"> to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(</w:t>
      </w:r>
      <w:proofErr w:type="spellStart"/>
      <w:r>
        <w:t>even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 xml:space="preserve">). The SU is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consistently</w:t>
      </w:r>
      <w:proofErr w:type="spellEnd"/>
      <w:r>
        <w:t xml:space="preserve"> to </w:t>
      </w:r>
      <w:proofErr w:type="spellStart"/>
      <w:r>
        <w:t>update</w:t>
      </w:r>
      <w:proofErr w:type="spellEnd"/>
      <w:r>
        <w:t xml:space="preserve"> the </w:t>
      </w:r>
      <w:proofErr w:type="spellStart"/>
      <w:r>
        <w:t>clubs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societies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governing</w:t>
      </w:r>
      <w:proofErr w:type="spellEnd"/>
      <w:r>
        <w:t xml:space="preserve"> bodies </w:t>
      </w:r>
      <w:proofErr w:type="spellStart"/>
      <w:r>
        <w:t>guidance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(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)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encouraged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frustrated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keen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SU to </w:t>
      </w:r>
      <w:proofErr w:type="spellStart"/>
      <w:r>
        <w:t>return</w:t>
      </w:r>
      <w:proofErr w:type="spellEnd"/>
      <w:r>
        <w:t xml:space="preserve"> to </w:t>
      </w:r>
      <w:proofErr w:type="spellStart"/>
      <w:r>
        <w:t>holding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. </w:t>
      </w:r>
    </w:p>
    <w:p w14:paraId="51964AD1" w14:textId="631AF926" w:rsidR="3E8CCCCD" w:rsidRDefault="3E8CCCCD" w:rsidP="3E8CCCCD">
      <w:pPr>
        <w:pStyle w:val="BodyA"/>
        <w:rPr>
          <w:rFonts w:hint="eastAsia"/>
          <w:b/>
          <w:bCs/>
        </w:rPr>
      </w:pPr>
    </w:p>
    <w:p w14:paraId="07459315" w14:textId="4698D3DC" w:rsidR="004D534A" w:rsidRDefault="36D6190D" w:rsidP="1FC42A25">
      <w:pPr>
        <w:pStyle w:val="BodyA"/>
        <w:rPr>
          <w:rFonts w:hint="eastAsia"/>
          <w:u w:val="single"/>
        </w:rPr>
      </w:pPr>
      <w:proofErr w:type="spellStart"/>
      <w:r>
        <w:rPr>
          <w:b/>
          <w:bCs/>
          <w:u w:val="single"/>
        </w:rPr>
        <w:t>Coming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Up</w:t>
      </w:r>
      <w:proofErr w:type="spellEnd"/>
      <w:r>
        <w:rPr>
          <w:b/>
          <w:bCs/>
          <w:u w:val="single"/>
        </w:rPr>
        <w:t>:</w:t>
      </w:r>
      <w:r>
        <w:rPr>
          <w:u w:val="single"/>
        </w:rPr>
        <w:t xml:space="preserve"> </w:t>
      </w:r>
    </w:p>
    <w:p w14:paraId="4E095BCC" w14:textId="59A16C1B" w:rsidR="004D534A" w:rsidRDefault="6EEB8E69" w:rsidP="7A0F672D">
      <w:pPr>
        <w:pStyle w:val="BodyA"/>
        <w:numPr>
          <w:ilvl w:val="0"/>
          <w:numId w:val="1"/>
        </w:numPr>
        <w:rPr>
          <w:rFonts w:eastAsia="Helvetica Neue" w:cs="Helvetica Neue"/>
          <w:color w:val="000000" w:themeColor="text1"/>
          <w:u w:val="single"/>
        </w:rPr>
      </w:pPr>
      <w:r>
        <w:rPr>
          <w:u w:val="single"/>
        </w:rPr>
        <w:t xml:space="preserve">As a </w:t>
      </w:r>
      <w:proofErr w:type="spellStart"/>
      <w:r>
        <w:rPr>
          <w:u w:val="single"/>
        </w:rPr>
        <w:t>result</w:t>
      </w:r>
      <w:proofErr w:type="spellEnd"/>
      <w:r>
        <w:rPr>
          <w:u w:val="single"/>
        </w:rPr>
        <w:t xml:space="preserve"> of the </w:t>
      </w:r>
      <w:proofErr w:type="spellStart"/>
      <w:r>
        <w:rPr>
          <w:u w:val="single"/>
        </w:rPr>
        <w:t>announcement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on</w:t>
      </w:r>
      <w:proofErr w:type="spellEnd"/>
      <w:r>
        <w:rPr>
          <w:u w:val="single"/>
        </w:rPr>
        <w:t xml:space="preserve"> 19/10/2020 </w:t>
      </w:r>
      <w:proofErr w:type="spellStart"/>
      <w:r>
        <w:rPr>
          <w:u w:val="single"/>
        </w:rPr>
        <w:t>about</w:t>
      </w:r>
      <w:proofErr w:type="spellEnd"/>
      <w:r>
        <w:rPr>
          <w:u w:val="single"/>
        </w:rPr>
        <w:t xml:space="preserve"> the </w:t>
      </w:r>
      <w:proofErr w:type="spellStart"/>
      <w:r>
        <w:rPr>
          <w:u w:val="single"/>
        </w:rPr>
        <w:t>circuit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breaker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lockdown</w:t>
      </w:r>
      <w:proofErr w:type="spellEnd"/>
      <w:r>
        <w:rPr>
          <w:u w:val="single"/>
        </w:rPr>
        <w:t xml:space="preserve">, we </w:t>
      </w:r>
      <w:proofErr w:type="spellStart"/>
      <w:r>
        <w:rPr>
          <w:u w:val="single"/>
        </w:rPr>
        <w:t>anticipate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number</w:t>
      </w:r>
      <w:proofErr w:type="spellEnd"/>
      <w:r>
        <w:rPr>
          <w:u w:val="single"/>
        </w:rPr>
        <w:t xml:space="preserve"> of </w:t>
      </w:r>
      <w:proofErr w:type="spellStart"/>
      <w:r>
        <w:rPr>
          <w:u w:val="single"/>
        </w:rPr>
        <w:t>issues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surrounding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students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wishing</w:t>
      </w:r>
      <w:proofErr w:type="spellEnd"/>
      <w:r>
        <w:rPr>
          <w:u w:val="single"/>
        </w:rPr>
        <w:t xml:space="preserve"> to </w:t>
      </w:r>
      <w:proofErr w:type="spellStart"/>
      <w:r>
        <w:rPr>
          <w:u w:val="single"/>
        </w:rPr>
        <w:t>leave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site</w:t>
      </w:r>
      <w:proofErr w:type="spellEnd"/>
      <w:r>
        <w:rPr>
          <w:u w:val="single"/>
        </w:rPr>
        <w:t xml:space="preserve"> to </w:t>
      </w:r>
      <w:proofErr w:type="spellStart"/>
      <w:r>
        <w:rPr>
          <w:u w:val="single"/>
        </w:rPr>
        <w:t>isolate</w:t>
      </w:r>
      <w:proofErr w:type="spellEnd"/>
      <w:r>
        <w:rPr>
          <w:u w:val="single"/>
        </w:rPr>
        <w:t xml:space="preserve"> at </w:t>
      </w:r>
      <w:proofErr w:type="spellStart"/>
      <w:r>
        <w:rPr>
          <w:u w:val="single"/>
        </w:rPr>
        <w:t>home</w:t>
      </w:r>
      <w:proofErr w:type="spellEnd"/>
      <w:r>
        <w:rPr>
          <w:u w:val="single"/>
        </w:rPr>
        <w:t xml:space="preserve">. </w:t>
      </w:r>
    </w:p>
    <w:p w14:paraId="20CF4669" w14:textId="4CABA7C0" w:rsidR="004D534A" w:rsidRDefault="2B559268" w:rsidP="7A0F672D">
      <w:pPr>
        <w:pStyle w:val="BodyA"/>
        <w:numPr>
          <w:ilvl w:val="0"/>
          <w:numId w:val="1"/>
        </w:numPr>
        <w:rPr>
          <w:rFonts w:hint="eastAsia"/>
          <w:color w:val="000000" w:themeColor="text1"/>
          <w:u w:val="single"/>
        </w:rPr>
      </w:pPr>
      <w:r>
        <w:t xml:space="preserve">We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launching</w:t>
      </w:r>
      <w:proofErr w:type="spellEnd"/>
      <w:r>
        <w:t xml:space="preserve"> </w:t>
      </w:r>
      <w:proofErr w:type="spellStart"/>
      <w:r>
        <w:t>campaigns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; </w:t>
      </w:r>
      <w:proofErr w:type="spellStart"/>
      <w:r>
        <w:t>Wear</w:t>
      </w:r>
      <w:proofErr w:type="spellEnd"/>
      <w:r>
        <w:t xml:space="preserve"> it </w:t>
      </w:r>
      <w:proofErr w:type="spellStart"/>
      <w:r>
        <w:t>Pink</w:t>
      </w:r>
      <w:proofErr w:type="spellEnd"/>
      <w:r>
        <w:t xml:space="preserve">, </w:t>
      </w:r>
      <w:proofErr w:type="spellStart"/>
      <w:r>
        <w:t>Movember</w:t>
      </w:r>
      <w:proofErr w:type="spellEnd"/>
      <w:r>
        <w:t xml:space="preserve"> (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of the </w:t>
      </w:r>
      <w:proofErr w:type="spellStart"/>
      <w:r>
        <w:t>Men’s</w:t>
      </w:r>
      <w:proofErr w:type="spellEnd"/>
      <w:r>
        <w:t xml:space="preserve"> Rugby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>)</w:t>
      </w:r>
    </w:p>
    <w:p w14:paraId="688DA8A5" w14:textId="098DC58B" w:rsidR="004D534A" w:rsidRDefault="004D534A" w:rsidP="3E8CCCCD">
      <w:pPr>
        <w:pStyle w:val="BodyA"/>
        <w:rPr>
          <w:rFonts w:hint="eastAsia"/>
          <w:b/>
          <w:bCs/>
          <w:u w:val="single"/>
        </w:rPr>
      </w:pPr>
    </w:p>
    <w:p w14:paraId="3A9A2EAD" w14:textId="637AC3AF" w:rsidR="004D534A" w:rsidRDefault="6039295B" w:rsidP="6039295B">
      <w:pPr>
        <w:pStyle w:val="BodyA"/>
        <w:rPr>
          <w:rFonts w:hint="eastAsia"/>
          <w:b/>
          <w:bCs/>
        </w:rPr>
      </w:pPr>
      <w:proofErr w:type="spellStart"/>
      <w:r>
        <w:rPr>
          <w:b/>
          <w:bCs/>
          <w:u w:val="single"/>
        </w:rPr>
        <w:t>Any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Other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Information</w:t>
      </w:r>
      <w:proofErr w:type="spellEnd"/>
      <w:r>
        <w:rPr>
          <w:b/>
          <w:bCs/>
          <w:u w:val="single"/>
        </w:rPr>
        <w:t xml:space="preserve">: </w:t>
      </w:r>
    </w:p>
    <w:sectPr w:rsidR="004D534A">
      <w:headerReference w:type="default" r:id="rId10"/>
      <w:footerReference w:type="default" r:id="rId11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871BC" w14:textId="77777777" w:rsidR="00DA3E77" w:rsidRDefault="00DA3E77">
      <w:r>
        <w:separator/>
      </w:r>
    </w:p>
  </w:endnote>
  <w:endnote w:type="continuationSeparator" w:id="0">
    <w:p w14:paraId="144A5D23" w14:textId="77777777" w:rsidR="00DA3E77" w:rsidRDefault="00DA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B9E20" w14:textId="77777777" w:rsidR="004D534A" w:rsidRDefault="004D534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610EB" w14:textId="77777777" w:rsidR="00DA3E77" w:rsidRDefault="00DA3E77">
      <w:r>
        <w:separator/>
      </w:r>
    </w:p>
  </w:footnote>
  <w:footnote w:type="continuationSeparator" w:id="0">
    <w:p w14:paraId="637805D2" w14:textId="77777777" w:rsidR="00DA3E77" w:rsidRDefault="00DA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F9E56" w14:textId="77777777" w:rsidR="004D534A" w:rsidRDefault="004D534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E28BF"/>
    <w:multiLevelType w:val="hybridMultilevel"/>
    <w:tmpl w:val="B6DA3C66"/>
    <w:lvl w:ilvl="0" w:tplc="A502B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2D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4C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A3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64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27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E1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AB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24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D07F5"/>
    <w:multiLevelType w:val="hybridMultilevel"/>
    <w:tmpl w:val="DA58FA2A"/>
    <w:lvl w:ilvl="0" w:tplc="CC240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61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64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64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E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4A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A1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E2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C3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1AF8"/>
    <w:multiLevelType w:val="hybridMultilevel"/>
    <w:tmpl w:val="8230DCEA"/>
    <w:lvl w:ilvl="0" w:tplc="BC943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EF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83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61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69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6B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48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AE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4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C4C93"/>
    <w:multiLevelType w:val="hybridMultilevel"/>
    <w:tmpl w:val="CBC6FACE"/>
    <w:lvl w:ilvl="0" w:tplc="67188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AE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28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2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E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CD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CC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C9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9CB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71AD4"/>
    <w:multiLevelType w:val="hybridMultilevel"/>
    <w:tmpl w:val="F26EFDB2"/>
    <w:lvl w:ilvl="0" w:tplc="2B002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E2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6B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45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46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2B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61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8D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05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37B2E"/>
    <w:multiLevelType w:val="hybridMultilevel"/>
    <w:tmpl w:val="E6BA32E2"/>
    <w:lvl w:ilvl="0" w:tplc="74CE7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42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A7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C6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81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4B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E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ED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EA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93307"/>
    <w:multiLevelType w:val="hybridMultilevel"/>
    <w:tmpl w:val="93DCFB72"/>
    <w:lvl w:ilvl="0" w:tplc="041CF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82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87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87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AD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CA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A9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A0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85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E6FFB"/>
    <w:multiLevelType w:val="hybridMultilevel"/>
    <w:tmpl w:val="81BEF042"/>
    <w:lvl w:ilvl="0" w:tplc="A7947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6F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740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49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60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27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80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6F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0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D321E"/>
    <w:multiLevelType w:val="hybridMultilevel"/>
    <w:tmpl w:val="ACF81712"/>
    <w:lvl w:ilvl="0" w:tplc="8BCC9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EB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24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C2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26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A7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84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EC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4B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D58F4"/>
    <w:multiLevelType w:val="hybridMultilevel"/>
    <w:tmpl w:val="AA142DCE"/>
    <w:lvl w:ilvl="0" w:tplc="C5583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43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E7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6F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2D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E7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4A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C3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69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4A"/>
    <w:rsid w:val="000C4599"/>
    <w:rsid w:val="001B74F2"/>
    <w:rsid w:val="004D534A"/>
    <w:rsid w:val="0096B024"/>
    <w:rsid w:val="009B6481"/>
    <w:rsid w:val="00B13A89"/>
    <w:rsid w:val="00DA3E77"/>
    <w:rsid w:val="00E755AE"/>
    <w:rsid w:val="00F41AF1"/>
    <w:rsid w:val="01589FCB"/>
    <w:rsid w:val="01905717"/>
    <w:rsid w:val="02D92C7A"/>
    <w:rsid w:val="05180A11"/>
    <w:rsid w:val="05822FFA"/>
    <w:rsid w:val="05B145D7"/>
    <w:rsid w:val="07DA4D53"/>
    <w:rsid w:val="0904A38B"/>
    <w:rsid w:val="0907AE29"/>
    <w:rsid w:val="09394A0D"/>
    <w:rsid w:val="09409944"/>
    <w:rsid w:val="09A299A8"/>
    <w:rsid w:val="09A9144C"/>
    <w:rsid w:val="09E37D77"/>
    <w:rsid w:val="0A5B4F28"/>
    <w:rsid w:val="0AE29229"/>
    <w:rsid w:val="0B987057"/>
    <w:rsid w:val="0CBF4C57"/>
    <w:rsid w:val="0DBB6255"/>
    <w:rsid w:val="0DEEB74B"/>
    <w:rsid w:val="0FB5F501"/>
    <w:rsid w:val="0FE9543D"/>
    <w:rsid w:val="116644F2"/>
    <w:rsid w:val="1190385C"/>
    <w:rsid w:val="121F3777"/>
    <w:rsid w:val="1578BA06"/>
    <w:rsid w:val="15D14549"/>
    <w:rsid w:val="168685D8"/>
    <w:rsid w:val="16A6A923"/>
    <w:rsid w:val="16F931B7"/>
    <w:rsid w:val="177303EC"/>
    <w:rsid w:val="18F7742D"/>
    <w:rsid w:val="1953CD87"/>
    <w:rsid w:val="1CCE70A1"/>
    <w:rsid w:val="1CDFD167"/>
    <w:rsid w:val="1E10219F"/>
    <w:rsid w:val="1F6CA476"/>
    <w:rsid w:val="1FC32A0F"/>
    <w:rsid w:val="1FC42A25"/>
    <w:rsid w:val="1FDB6FBA"/>
    <w:rsid w:val="20C2B6CE"/>
    <w:rsid w:val="22BA93C6"/>
    <w:rsid w:val="23634870"/>
    <w:rsid w:val="2380746C"/>
    <w:rsid w:val="23B6361C"/>
    <w:rsid w:val="264A6FF6"/>
    <w:rsid w:val="26631B55"/>
    <w:rsid w:val="26D6326D"/>
    <w:rsid w:val="27651832"/>
    <w:rsid w:val="27AFB9F0"/>
    <w:rsid w:val="27F7C4C6"/>
    <w:rsid w:val="2839FE23"/>
    <w:rsid w:val="290F0C47"/>
    <w:rsid w:val="295982BF"/>
    <w:rsid w:val="29C45A63"/>
    <w:rsid w:val="29E2204B"/>
    <w:rsid w:val="2B559268"/>
    <w:rsid w:val="2BCF0E0F"/>
    <w:rsid w:val="2CCE75EC"/>
    <w:rsid w:val="2E32DEE6"/>
    <w:rsid w:val="2E7D4E87"/>
    <w:rsid w:val="2FB36120"/>
    <w:rsid w:val="3344C58B"/>
    <w:rsid w:val="334D9410"/>
    <w:rsid w:val="343B06F8"/>
    <w:rsid w:val="348A91D7"/>
    <w:rsid w:val="36D6190D"/>
    <w:rsid w:val="38D9C66C"/>
    <w:rsid w:val="393B2050"/>
    <w:rsid w:val="3A057D1F"/>
    <w:rsid w:val="3A3CCF16"/>
    <w:rsid w:val="3BB6774F"/>
    <w:rsid w:val="3D242B02"/>
    <w:rsid w:val="3D693351"/>
    <w:rsid w:val="3E03B967"/>
    <w:rsid w:val="3E8CCCCD"/>
    <w:rsid w:val="3E9ED34E"/>
    <w:rsid w:val="3EB6AB18"/>
    <w:rsid w:val="3F986B2F"/>
    <w:rsid w:val="401023F0"/>
    <w:rsid w:val="402549BD"/>
    <w:rsid w:val="419A6986"/>
    <w:rsid w:val="420563B3"/>
    <w:rsid w:val="4324072C"/>
    <w:rsid w:val="43D066B4"/>
    <w:rsid w:val="44DDD06A"/>
    <w:rsid w:val="45237B8B"/>
    <w:rsid w:val="45378588"/>
    <w:rsid w:val="4589AA40"/>
    <w:rsid w:val="46A2DA0B"/>
    <w:rsid w:val="471CF6E4"/>
    <w:rsid w:val="473D1182"/>
    <w:rsid w:val="4762AE35"/>
    <w:rsid w:val="48DAB10E"/>
    <w:rsid w:val="4AFC94CE"/>
    <w:rsid w:val="4C0F0999"/>
    <w:rsid w:val="4C26755A"/>
    <w:rsid w:val="4CAB69BB"/>
    <w:rsid w:val="4CE64D88"/>
    <w:rsid w:val="4D1B77B5"/>
    <w:rsid w:val="4D776950"/>
    <w:rsid w:val="4DC524CA"/>
    <w:rsid w:val="4E11CEE2"/>
    <w:rsid w:val="4EC0A685"/>
    <w:rsid w:val="4EEE2CD7"/>
    <w:rsid w:val="4FDE7B58"/>
    <w:rsid w:val="504A2F6A"/>
    <w:rsid w:val="505E3872"/>
    <w:rsid w:val="511D248A"/>
    <w:rsid w:val="53523B73"/>
    <w:rsid w:val="53546464"/>
    <w:rsid w:val="53DE12FD"/>
    <w:rsid w:val="55144EB0"/>
    <w:rsid w:val="56E3EFD4"/>
    <w:rsid w:val="57892A00"/>
    <w:rsid w:val="5A7153BB"/>
    <w:rsid w:val="5BFC9633"/>
    <w:rsid w:val="5C6B5EB0"/>
    <w:rsid w:val="5CEC900F"/>
    <w:rsid w:val="5D182D7B"/>
    <w:rsid w:val="5D81C06F"/>
    <w:rsid w:val="5E6E7A3F"/>
    <w:rsid w:val="5FDB1A2C"/>
    <w:rsid w:val="6039295B"/>
    <w:rsid w:val="6058F87B"/>
    <w:rsid w:val="6198E7A8"/>
    <w:rsid w:val="626DD951"/>
    <w:rsid w:val="634D4FCE"/>
    <w:rsid w:val="6631B09C"/>
    <w:rsid w:val="66D19FD3"/>
    <w:rsid w:val="670DB9D9"/>
    <w:rsid w:val="67199953"/>
    <w:rsid w:val="675720F8"/>
    <w:rsid w:val="6A1DAE49"/>
    <w:rsid w:val="6B4B2709"/>
    <w:rsid w:val="6CEEF927"/>
    <w:rsid w:val="6D14A668"/>
    <w:rsid w:val="6D3E87F3"/>
    <w:rsid w:val="6EA2BD3D"/>
    <w:rsid w:val="6EEB8E69"/>
    <w:rsid w:val="6F16182B"/>
    <w:rsid w:val="72EC1751"/>
    <w:rsid w:val="72FA506B"/>
    <w:rsid w:val="737794B6"/>
    <w:rsid w:val="7619847C"/>
    <w:rsid w:val="767EDD98"/>
    <w:rsid w:val="769F1876"/>
    <w:rsid w:val="781BFA71"/>
    <w:rsid w:val="78F92126"/>
    <w:rsid w:val="7A0F672D"/>
    <w:rsid w:val="7AB0EBBA"/>
    <w:rsid w:val="7B35BEA5"/>
    <w:rsid w:val="7B609D18"/>
    <w:rsid w:val="7DB01C0B"/>
    <w:rsid w:val="7DD19B0E"/>
    <w:rsid w:val="7F1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EBE4"/>
  <w15:docId w15:val="{73338D83-0454-4EA3-84EB-02EDF463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y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</w:rPr>
  </w:style>
  <w:style w:type="paragraph" w:styleId="ParagraffRhestr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C4A93546C5446B88F92FCAABE40CA" ma:contentTypeVersion="6" ma:contentTypeDescription="Create a new document." ma:contentTypeScope="" ma:versionID="e2a189b36aebba27cceefb6bbd28dc75">
  <xsd:schema xmlns:xsd="http://www.w3.org/2001/XMLSchema" xmlns:xs="http://www.w3.org/2001/XMLSchema" xmlns:p="http://schemas.microsoft.com/office/2006/metadata/properties" xmlns:ns2="3c4efbf5-32fd-4f44-b6cb-6b1778ca3b0b" xmlns:ns3="7855860c-b829-493b-b704-345ece8538b0" targetNamespace="http://schemas.microsoft.com/office/2006/metadata/properties" ma:root="true" ma:fieldsID="7a60ecc6f26248d9cf85614cc8a49d29" ns2:_="" ns3:_="">
    <xsd:import namespace="3c4efbf5-32fd-4f44-b6cb-6b1778ca3b0b"/>
    <xsd:import namespace="7855860c-b829-493b-b704-345ece853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fbf5-32fd-4f44-b6cb-6b1778ca3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5860c-b829-493b-b704-345ece853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55860c-b829-493b-b704-345ece8538b0">
      <UserInfo>
        <DisplayName>Laura-Cait Driscoll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EA372-1665-4494-B327-C37F0AFA2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efbf5-32fd-4f44-b6cb-6b1778ca3b0b"/>
    <ds:schemaRef ds:uri="7855860c-b829-493b-b704-345ece853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7CF07-4792-46C3-9E3D-F6BFBDF0B217}">
  <ds:schemaRefs>
    <ds:schemaRef ds:uri="http://schemas.microsoft.com/office/2006/metadata/properties"/>
    <ds:schemaRef ds:uri="http://schemas.microsoft.com/office/infopath/2007/PartnerControls"/>
    <ds:schemaRef ds:uri="7855860c-b829-493b-b704-345ece8538b0"/>
  </ds:schemaRefs>
</ds:datastoreItem>
</file>

<file path=customXml/itemProps3.xml><?xml version="1.0" encoding="utf-8"?>
<ds:datastoreItem xmlns:ds="http://schemas.openxmlformats.org/officeDocument/2006/customXml" ds:itemID="{CE459FEB-9707-44EA-BB9F-D05C2BE16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Fallon</dc:creator>
  <cp:lastModifiedBy>Geoff Jones</cp:lastModifiedBy>
  <cp:revision>3</cp:revision>
  <dcterms:created xsi:type="dcterms:W3CDTF">2020-10-21T14:24:00Z</dcterms:created>
  <dcterms:modified xsi:type="dcterms:W3CDTF">2020-10-27T10:58:00Z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0x010100E81C4A93546C5446B88F92FCAABE40CA</vt:lpwstr>
  </property>
</Properties>
</file>