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FC98" w14:textId="24F961C3" w:rsidR="003B1255" w:rsidRDefault="003B1255" w:rsidP="003B1282">
      <w:pPr>
        <w:spacing w:before="240" w:line="276" w:lineRule="auto"/>
        <w:rPr>
          <w:rFonts w:ascii="Avenir Next LT Pro" w:hAnsi="Avenir Next LT Pro"/>
          <w:noProof/>
          <w:sz w:val="36"/>
          <w:szCs w:val="36"/>
        </w:rPr>
      </w:pPr>
      <w:r w:rsidRPr="003B1255">
        <w:rPr>
          <w:rFonts w:ascii="Avenir Next LT Pro" w:hAnsi="Avenir Next LT Pro"/>
          <w:noProof/>
          <w:sz w:val="36"/>
          <w:szCs w:val="36"/>
        </w:rPr>
        <w:drawing>
          <wp:inline distT="0" distB="0" distL="0" distR="0" wp14:anchorId="0E28475D" wp14:editId="3A46863D">
            <wp:extent cx="2997200" cy="673100"/>
            <wp:effectExtent l="0" t="0" r="0" b="0"/>
            <wp:docPr id="1498498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983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9F37F" w14:textId="77777777" w:rsidR="003B1255" w:rsidRDefault="003B1255" w:rsidP="003B1282">
      <w:pPr>
        <w:spacing w:before="240" w:line="276" w:lineRule="auto"/>
        <w:rPr>
          <w:rFonts w:ascii="Avenir Next LT Pro" w:hAnsi="Avenir Next LT Pro"/>
          <w:noProof/>
          <w:sz w:val="36"/>
          <w:szCs w:val="36"/>
        </w:rPr>
      </w:pPr>
    </w:p>
    <w:p w14:paraId="6D0315EF" w14:textId="3E98A8A1" w:rsidR="00BB676A" w:rsidRPr="00183E7F" w:rsidRDefault="00C64103" w:rsidP="003B1282">
      <w:pPr>
        <w:spacing w:before="240" w:line="276" w:lineRule="auto"/>
        <w:rPr>
          <w:rFonts w:ascii="Avenir Next LT Pro" w:hAnsi="Avenir Next LT Pro"/>
          <w:b/>
          <w:bCs/>
          <w:noProof/>
          <w:sz w:val="44"/>
          <w:szCs w:val="44"/>
        </w:rPr>
      </w:pPr>
      <w:r w:rsidRPr="00183E7F">
        <w:rPr>
          <w:rFonts w:ascii="Avenir Next LT Pro" w:hAnsi="Avenir Next LT Pro"/>
          <w:b/>
          <w:bCs/>
          <w:noProof/>
          <w:sz w:val="44"/>
          <w:szCs w:val="44"/>
        </w:rPr>
        <w:t>Audited Financial Accounts to July 202</w:t>
      </w:r>
      <w:r w:rsidR="00584F15" w:rsidRPr="00183E7F">
        <w:rPr>
          <w:rFonts w:ascii="Avenir Next LT Pro" w:hAnsi="Avenir Next LT Pro"/>
          <w:b/>
          <w:bCs/>
          <w:noProof/>
          <w:sz w:val="44"/>
          <w:szCs w:val="44"/>
        </w:rPr>
        <w:t>4</w:t>
      </w:r>
    </w:p>
    <w:p w14:paraId="0B3D75C6" w14:textId="4FDBEC52" w:rsidR="003B1282" w:rsidRDefault="003B1282" w:rsidP="003B1282">
      <w:pPr>
        <w:spacing w:before="240" w:line="276" w:lineRule="auto"/>
        <w:rPr>
          <w:rFonts w:ascii="Avenir Next LT Pro" w:hAnsi="Avenir Next LT Pro"/>
          <w:noProof/>
          <w:sz w:val="36"/>
          <w:szCs w:val="36"/>
        </w:rPr>
      </w:pPr>
      <w:r w:rsidRPr="003B1282">
        <w:rPr>
          <w:rFonts w:ascii="Avenir Next LT Pro" w:hAnsi="Avenir Next LT Pro"/>
          <w:noProof/>
          <w:sz w:val="36"/>
          <w:szCs w:val="36"/>
        </w:rPr>
        <w:t>Trinity Saint David Students' Union</w:t>
      </w:r>
    </w:p>
    <w:p w14:paraId="40F678C4" w14:textId="4394F9E4" w:rsidR="00C64103" w:rsidRPr="003B1282" w:rsidRDefault="003B1282" w:rsidP="00183E7F">
      <w:pPr>
        <w:spacing w:before="240" w:line="276" w:lineRule="auto"/>
        <w:rPr>
          <w:rFonts w:ascii="Avenir Next LT Pro" w:hAnsi="Avenir Next LT Pro"/>
          <w:noProof/>
          <w:sz w:val="21"/>
          <w:szCs w:val="21"/>
        </w:rPr>
      </w:pPr>
      <w:r w:rsidRPr="003B1282">
        <w:rPr>
          <w:rFonts w:ascii="Avenir Next LT Pro" w:hAnsi="Avenir Next LT Pro"/>
          <w:noProof/>
          <w:sz w:val="21"/>
          <w:szCs w:val="21"/>
        </w:rPr>
        <w:t>Statement of Financial Activities for the Year Ended 31 July 2024</w:t>
      </w:r>
      <w:r>
        <w:rPr>
          <w:rFonts w:ascii="Avenir Next LT Pro" w:hAnsi="Avenir Next LT Pro"/>
          <w:noProof/>
          <w:sz w:val="21"/>
          <w:szCs w:val="21"/>
        </w:rPr>
        <w:t xml:space="preserve"> </w:t>
      </w:r>
      <w:r w:rsidRPr="003B1282">
        <w:rPr>
          <w:rFonts w:ascii="Avenir Next LT Pro" w:hAnsi="Avenir Next LT Pro"/>
          <w:noProof/>
          <w:sz w:val="21"/>
          <w:szCs w:val="21"/>
        </w:rPr>
        <w:t>(Including Income and Expenditure Account and Statement of Total Recognised Gains</w:t>
      </w:r>
      <w:r w:rsidRPr="003B1282">
        <w:rPr>
          <w:rFonts w:ascii="Avenir Next LT Pro" w:hAnsi="Avenir Next LT Pro"/>
          <w:noProof/>
          <w:sz w:val="21"/>
          <w:szCs w:val="21"/>
        </w:rPr>
        <w:t xml:space="preserve"> </w:t>
      </w:r>
      <w:r w:rsidRPr="003B1282">
        <w:rPr>
          <w:rFonts w:ascii="Avenir Next LT Pro" w:hAnsi="Avenir Next LT Pro"/>
          <w:noProof/>
          <w:sz w:val="21"/>
          <w:szCs w:val="21"/>
        </w:rPr>
        <w:t>and Losses)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888"/>
        <w:gridCol w:w="1934"/>
        <w:gridCol w:w="1380"/>
      </w:tblGrid>
      <w:tr w:rsidR="00F532BB" w:rsidRPr="00F532BB" w14:paraId="6925B94C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680F9" w14:textId="6F57C769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>Income and Endowments from: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EB821" w14:textId="501B00C4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>Unrestricted Funds £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AA746" w14:textId="1258E94F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>R</w:t>
            </w: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>estricted Funds</w:t>
            </w: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 £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007BD" w14:textId="7B6D1615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>Total 2024 £</w:t>
            </w:r>
          </w:p>
        </w:tc>
      </w:tr>
      <w:tr w:rsidR="00F532BB" w:rsidRPr="00F532BB" w14:paraId="4497FD7F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2D8C2" w14:textId="7042E0B4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Donations and legacies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38D8D" w14:textId="3EE38BE8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1,111,056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A382E" w14:textId="37CF68DE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-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A345F" w14:textId="31C53D11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1,111,056</w:t>
            </w:r>
          </w:p>
        </w:tc>
      </w:tr>
      <w:tr w:rsidR="00F532BB" w:rsidRPr="00F532BB" w14:paraId="543D2185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4DAF0" w14:textId="6AED3BA7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Other Trading Activities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E97E1" w14:textId="3DF3D9DC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54,815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53DAC" w14:textId="2AF6F014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CC65" w14:textId="36C48C11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54,815</w:t>
            </w:r>
          </w:p>
        </w:tc>
      </w:tr>
      <w:tr w:rsidR="00F532BB" w:rsidRPr="00F532BB" w14:paraId="5A1B000F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BDB8F" w14:textId="240A0809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Total Income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68E96" w14:textId="483581B4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1,165,871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90203" w14:textId="5E650A87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EE7AF" w14:textId="592EC37B" w:rsidR="00F532BB" w:rsidRPr="00F532BB" w:rsidRDefault="00F532BB" w:rsidP="0045383F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1,165,871</w:t>
            </w:r>
          </w:p>
        </w:tc>
      </w:tr>
      <w:tr w:rsidR="003B1282" w:rsidRPr="00F532BB" w14:paraId="48778888" w14:textId="77777777" w:rsidTr="003B1282">
        <w:trPr>
          <w:gridAfter w:val="3"/>
          <w:wAfter w:w="5202" w:type="dxa"/>
        </w:trPr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5580C" w14:textId="6F422401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b/>
                <w:bCs/>
                <w:sz w:val="16"/>
                <w:szCs w:val="16"/>
              </w:rPr>
              <w:t>Expenditure On</w:t>
            </w:r>
          </w:p>
        </w:tc>
      </w:tr>
      <w:tr w:rsidR="003B1282" w:rsidRPr="00F532BB" w14:paraId="24CF786C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C7AE1" w14:textId="464B9E60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Charitable activities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2E1B4" w14:textId="5E07AC3A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(1,055,810)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999AC" w14:textId="676727BA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(4,389)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928CF" w14:textId="7B6BF1AB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(1,060,199)</w:t>
            </w:r>
          </w:p>
        </w:tc>
      </w:tr>
      <w:tr w:rsidR="003B1282" w:rsidRPr="00F532BB" w14:paraId="6B0C0613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082BF" w14:textId="4751F5DF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 w:cs="ƒk,±ò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Total expenditure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4B70C" w14:textId="2E52464D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 w:cs="ƒk,±ò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(1,055,810)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2327" w14:textId="255FCD18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 w:cs="ƒk,±ò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(4,389)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42FD6" w14:textId="674BD261" w:rsidR="003B1282" w:rsidRPr="00F532BB" w:rsidRDefault="003B1282" w:rsidP="003B128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 w:cs="ƒk,±ò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(1,060,199)</w:t>
            </w:r>
          </w:p>
        </w:tc>
      </w:tr>
      <w:tr w:rsidR="003B1282" w:rsidRPr="00F532BB" w14:paraId="46028E43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9B590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Net income/(expenditure)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71109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110,061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530D4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(4,389)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231B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105,672</w:t>
            </w:r>
          </w:p>
        </w:tc>
      </w:tr>
      <w:tr w:rsidR="003B1282" w:rsidRPr="00F532BB" w14:paraId="59391E8A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876CE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Transfers between funds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2AE34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11,121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1D3FD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(11,121)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E553E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/>
                <w:sz w:val="16"/>
                <w:szCs w:val="16"/>
              </w:rPr>
              <w:t>-</w:t>
            </w:r>
          </w:p>
        </w:tc>
      </w:tr>
      <w:tr w:rsidR="003B1282" w:rsidRPr="00F532BB" w14:paraId="1A8E5461" w14:textId="77777777" w:rsidTr="003B1282">
        <w:trPr>
          <w:gridAfter w:val="3"/>
          <w:wAfter w:w="5202" w:type="dxa"/>
        </w:trPr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406BC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b/>
                <w:bCs/>
                <w:sz w:val="16"/>
                <w:szCs w:val="16"/>
              </w:rPr>
              <w:t>Other recognised gains and losses</w:t>
            </w:r>
          </w:p>
        </w:tc>
      </w:tr>
      <w:tr w:rsidR="003B1282" w:rsidRPr="00F532BB" w14:paraId="09870D81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7D95D" w14:textId="77777777" w:rsidR="003B1282" w:rsidRPr="00F532BB" w:rsidRDefault="003B1282" w:rsidP="006D1632">
            <w:pPr>
              <w:autoSpaceDE w:val="0"/>
              <w:autoSpaceDN w:val="0"/>
              <w:adjustRightInd w:val="0"/>
              <w:rPr>
                <w:rFonts w:ascii="Avenir Next LT Pro" w:hAnsi="Avenir Next LT Pro" w:cs="ƒk,±ò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Actuarial gains on defined benefit pension schemes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B39B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(22,394)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90D96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09E2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(22,394)</w:t>
            </w:r>
          </w:p>
        </w:tc>
      </w:tr>
      <w:tr w:rsidR="003B1282" w:rsidRPr="00F532BB" w14:paraId="6E2ADE70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DBEA5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Net movement in funds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77CF0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98,788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0B11F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(15,510)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7B301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83,278</w:t>
            </w:r>
          </w:p>
        </w:tc>
      </w:tr>
      <w:tr w:rsidR="003B1282" w:rsidRPr="00F532BB" w14:paraId="20740EBE" w14:textId="77777777" w:rsidTr="003B1282">
        <w:trPr>
          <w:gridAfter w:val="3"/>
          <w:wAfter w:w="5202" w:type="dxa"/>
        </w:trPr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00B0F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b/>
                <w:bCs/>
                <w:sz w:val="16"/>
                <w:szCs w:val="16"/>
              </w:rPr>
              <w:t>Reconciliation of funds</w:t>
            </w:r>
          </w:p>
        </w:tc>
      </w:tr>
      <w:tr w:rsidR="003B1282" w:rsidRPr="00F532BB" w14:paraId="268CBD34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65E86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Total funds brought forward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509CE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(617,969)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5F67C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15,510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DB3EF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(602,459)</w:t>
            </w:r>
          </w:p>
        </w:tc>
      </w:tr>
      <w:tr w:rsidR="003B1282" w:rsidRPr="00F532BB" w14:paraId="61EE4584" w14:textId="77777777" w:rsidTr="003B1282">
        <w:tc>
          <w:tcPr>
            <w:tcW w:w="31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34498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Total funds carried forward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B2062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(519,181)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62D0A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AADE7" w14:textId="77777777" w:rsidR="003B1282" w:rsidRPr="00F532BB" w:rsidRDefault="003B1282" w:rsidP="006D1632">
            <w:pPr>
              <w:tabs>
                <w:tab w:val="left" w:pos="1272"/>
              </w:tabs>
              <w:spacing w:before="240" w:line="276" w:lineRule="auto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532BB">
              <w:rPr>
                <w:rFonts w:ascii="Avenir Next LT Pro" w:hAnsi="Avenir Next LT Pro" w:cs="ƒk,±ò"/>
                <w:sz w:val="16"/>
                <w:szCs w:val="16"/>
              </w:rPr>
              <w:t>(519,181)</w:t>
            </w:r>
          </w:p>
        </w:tc>
      </w:tr>
    </w:tbl>
    <w:p w14:paraId="0C6CC34B" w14:textId="77777777" w:rsidR="00055110" w:rsidRPr="00F532BB" w:rsidRDefault="00055110" w:rsidP="00055110">
      <w:pPr>
        <w:tabs>
          <w:tab w:val="left" w:pos="1272"/>
        </w:tabs>
        <w:spacing w:before="240" w:line="276" w:lineRule="auto"/>
        <w:rPr>
          <w:rFonts w:ascii="Avenir Next LT Pro" w:hAnsi="Avenir Next LT Pro"/>
          <w:sz w:val="16"/>
          <w:szCs w:val="16"/>
        </w:rPr>
      </w:pPr>
    </w:p>
    <w:p w14:paraId="17E09A99" w14:textId="77777777" w:rsidR="00F532BB" w:rsidRDefault="00F532BB" w:rsidP="00055110">
      <w:pPr>
        <w:tabs>
          <w:tab w:val="left" w:pos="1272"/>
        </w:tabs>
        <w:spacing w:before="240" w:line="276" w:lineRule="auto"/>
        <w:rPr>
          <w:rFonts w:ascii="Avenir Next LT Pro" w:hAnsi="Avenir Next LT Pro"/>
        </w:rPr>
      </w:pPr>
    </w:p>
    <w:p w14:paraId="3FD76F12" w14:textId="143C17FB" w:rsidR="00C64103" w:rsidRPr="00055110" w:rsidRDefault="00C64103" w:rsidP="003B1282">
      <w:pPr>
        <w:tabs>
          <w:tab w:val="left" w:pos="1272"/>
        </w:tabs>
        <w:spacing w:before="240" w:line="360" w:lineRule="auto"/>
        <w:rPr>
          <w:rFonts w:ascii="Avenir Next LT Pro" w:hAnsi="Avenir Next LT Pro"/>
        </w:rPr>
      </w:pPr>
      <w:r w:rsidRPr="00055110">
        <w:rPr>
          <w:rFonts w:ascii="Avenir Next LT Pro" w:hAnsi="Avenir Next LT Pro"/>
        </w:rPr>
        <w:t>As can be seen above, the overall income for the Student Union was £</w:t>
      </w:r>
      <w:r w:rsidR="00DE04B6" w:rsidRPr="00055110">
        <w:rPr>
          <w:rFonts w:ascii="Avenir Next LT Pro" w:hAnsi="Avenir Next LT Pro"/>
        </w:rPr>
        <w:t>1,</w:t>
      </w:r>
      <w:r w:rsidR="00B56DA6" w:rsidRPr="00055110">
        <w:rPr>
          <w:rFonts w:ascii="Avenir Next LT Pro" w:hAnsi="Avenir Next LT Pro"/>
        </w:rPr>
        <w:t>165,871</w:t>
      </w:r>
      <w:r w:rsidRPr="00055110">
        <w:rPr>
          <w:rFonts w:ascii="Avenir Next LT Pro" w:hAnsi="Avenir Next LT Pro"/>
        </w:rPr>
        <w:t xml:space="preserve"> </w:t>
      </w:r>
      <w:r w:rsidR="00183E7F">
        <w:rPr>
          <w:rFonts w:ascii="Avenir Next LT Pro" w:hAnsi="Avenir Next LT Pro"/>
        </w:rPr>
        <w:br/>
      </w:r>
      <w:r w:rsidRPr="00055110">
        <w:rPr>
          <w:rFonts w:ascii="Avenir Next LT Pro" w:hAnsi="Avenir Next LT Pro"/>
        </w:rPr>
        <w:t>with an expenditure of £</w:t>
      </w:r>
      <w:r w:rsidR="00B56DA6" w:rsidRPr="00055110">
        <w:rPr>
          <w:rFonts w:ascii="Avenir Next LT Pro" w:hAnsi="Avenir Next LT Pro"/>
        </w:rPr>
        <w:t>1,060,199</w:t>
      </w:r>
      <w:r w:rsidRPr="00055110">
        <w:rPr>
          <w:rFonts w:ascii="Avenir Next LT Pro" w:hAnsi="Avenir Next LT Pro"/>
        </w:rPr>
        <w:t>.</w:t>
      </w:r>
    </w:p>
    <w:p w14:paraId="42CF3EF6" w14:textId="66A3C177" w:rsidR="007C63E4" w:rsidRPr="00055110" w:rsidRDefault="00D02F84" w:rsidP="003B1282">
      <w:pPr>
        <w:tabs>
          <w:tab w:val="left" w:pos="1272"/>
        </w:tabs>
        <w:spacing w:before="240" w:line="360" w:lineRule="auto"/>
        <w:rPr>
          <w:rFonts w:ascii="Avenir Next LT Pro" w:hAnsi="Avenir Next LT Pro"/>
        </w:rPr>
      </w:pPr>
      <w:r w:rsidRPr="00055110">
        <w:rPr>
          <w:rFonts w:ascii="Avenir Next LT Pro" w:hAnsi="Avenir Next LT Pro"/>
        </w:rPr>
        <w:t xml:space="preserve">In this financial year, we </w:t>
      </w:r>
      <w:r w:rsidR="009318C0" w:rsidRPr="00055110">
        <w:rPr>
          <w:rFonts w:ascii="Avenir Next LT Pro" w:hAnsi="Avenir Next LT Pro"/>
        </w:rPr>
        <w:t xml:space="preserve">ended the year in a surplus position partly due to the </w:t>
      </w:r>
      <w:r w:rsidR="00183E7F">
        <w:rPr>
          <w:rFonts w:ascii="Avenir Next LT Pro" w:hAnsi="Avenir Next LT Pro"/>
        </w:rPr>
        <w:br/>
      </w:r>
      <w:r w:rsidR="009318C0" w:rsidRPr="00055110">
        <w:rPr>
          <w:rFonts w:ascii="Avenir Next LT Pro" w:hAnsi="Avenir Next LT Pro"/>
        </w:rPr>
        <w:t xml:space="preserve">positive revaluation of the </w:t>
      </w:r>
      <w:r w:rsidR="00C64103" w:rsidRPr="00055110">
        <w:rPr>
          <w:rFonts w:ascii="Avenir Next LT Pro" w:hAnsi="Avenir Next LT Pro"/>
        </w:rPr>
        <w:t>historic SUSS pension</w:t>
      </w:r>
      <w:r w:rsidR="009318C0" w:rsidRPr="00055110">
        <w:rPr>
          <w:rFonts w:ascii="Avenir Next LT Pro" w:hAnsi="Avenir Next LT Pro"/>
        </w:rPr>
        <w:t>, the value of which fluctuates each year depending on economic conditions</w:t>
      </w:r>
      <w:r w:rsidR="00C64103" w:rsidRPr="00055110">
        <w:rPr>
          <w:rFonts w:ascii="Avenir Next LT Pro" w:hAnsi="Avenir Next LT Pro"/>
        </w:rPr>
        <w:t>.  In essence this is an historic defined benefit pension scheme which is now closed but has an historic deficit.  The scheme requires the SU to make contribution</w:t>
      </w:r>
      <w:r w:rsidR="006E2FF4" w:rsidRPr="00055110">
        <w:rPr>
          <w:rFonts w:ascii="Avenir Next LT Pro" w:hAnsi="Avenir Next LT Pro"/>
        </w:rPr>
        <w:t>s</w:t>
      </w:r>
      <w:r w:rsidR="00C64103" w:rsidRPr="00055110">
        <w:rPr>
          <w:rFonts w:ascii="Avenir Next LT Pro" w:hAnsi="Avenir Next LT Pro"/>
        </w:rPr>
        <w:t xml:space="preserve"> </w:t>
      </w:r>
      <w:r w:rsidR="006E2FF4" w:rsidRPr="00055110">
        <w:rPr>
          <w:rFonts w:ascii="Avenir Next LT Pro" w:hAnsi="Avenir Next LT Pro"/>
        </w:rPr>
        <w:t>totalling</w:t>
      </w:r>
      <w:r w:rsidR="00C64103" w:rsidRPr="00055110">
        <w:rPr>
          <w:rFonts w:ascii="Avenir Next LT Pro" w:hAnsi="Avenir Next LT Pro"/>
        </w:rPr>
        <w:t xml:space="preserve"> around £70k per annum for the next </w:t>
      </w:r>
      <w:r w:rsidR="000F7837" w:rsidRPr="00055110">
        <w:rPr>
          <w:rFonts w:ascii="Avenir Next LT Pro" w:hAnsi="Avenir Next LT Pro"/>
        </w:rPr>
        <w:t>1</w:t>
      </w:r>
      <w:r w:rsidR="00E55F7C" w:rsidRPr="00055110">
        <w:rPr>
          <w:rFonts w:ascii="Avenir Next LT Pro" w:hAnsi="Avenir Next LT Pro"/>
        </w:rPr>
        <w:t>0</w:t>
      </w:r>
      <w:r w:rsidR="000F7837" w:rsidRPr="00055110">
        <w:rPr>
          <w:rFonts w:ascii="Avenir Next LT Pro" w:hAnsi="Avenir Next LT Pro"/>
        </w:rPr>
        <w:t xml:space="preserve"> years </w:t>
      </w:r>
      <w:proofErr w:type="gramStart"/>
      <w:r w:rsidR="000F7837" w:rsidRPr="00055110">
        <w:rPr>
          <w:rFonts w:ascii="Avenir Next LT Pro" w:hAnsi="Avenir Next LT Pro"/>
        </w:rPr>
        <w:t>in order for</w:t>
      </w:r>
      <w:proofErr w:type="gramEnd"/>
      <w:r w:rsidR="000F7837" w:rsidRPr="00055110">
        <w:rPr>
          <w:rFonts w:ascii="Avenir Next LT Pro" w:hAnsi="Avenir Next LT Pro"/>
        </w:rPr>
        <w:t xml:space="preserve"> </w:t>
      </w:r>
      <w:r w:rsidR="00183E7F">
        <w:rPr>
          <w:rFonts w:ascii="Avenir Next LT Pro" w:hAnsi="Avenir Next LT Pro"/>
        </w:rPr>
        <w:br/>
      </w:r>
      <w:r w:rsidR="000F7837" w:rsidRPr="00055110">
        <w:rPr>
          <w:rFonts w:ascii="Avenir Next LT Pro" w:hAnsi="Avenir Next LT Pro"/>
        </w:rPr>
        <w:t xml:space="preserve">the pension to be able to service the members. More information on this is available </w:t>
      </w:r>
      <w:r w:rsidR="00183E7F">
        <w:rPr>
          <w:rFonts w:ascii="Avenir Next LT Pro" w:hAnsi="Avenir Next LT Pro"/>
        </w:rPr>
        <w:br/>
      </w:r>
      <w:r w:rsidR="000F7837" w:rsidRPr="00055110">
        <w:rPr>
          <w:rFonts w:ascii="Avenir Next LT Pro" w:hAnsi="Avenir Next LT Pro"/>
        </w:rPr>
        <w:t>upon request.</w:t>
      </w:r>
    </w:p>
    <w:p w14:paraId="4F2D6629" w14:textId="722D74EA" w:rsidR="00C64103" w:rsidRPr="00055110" w:rsidRDefault="00C518F6" w:rsidP="003B1282">
      <w:pPr>
        <w:tabs>
          <w:tab w:val="left" w:pos="1272"/>
        </w:tabs>
        <w:spacing w:before="240" w:line="360" w:lineRule="auto"/>
        <w:rPr>
          <w:rFonts w:ascii="Avenir Next LT Pro" w:hAnsi="Avenir Next LT Pro"/>
        </w:rPr>
      </w:pPr>
      <w:r w:rsidRPr="00055110">
        <w:rPr>
          <w:rFonts w:ascii="Avenir Next LT Pro" w:hAnsi="Avenir Next LT Pro"/>
        </w:rPr>
        <w:t xml:space="preserve">The year saw </w:t>
      </w:r>
      <w:r w:rsidR="003101E4" w:rsidRPr="00055110">
        <w:rPr>
          <w:rFonts w:ascii="Avenir Next LT Pro" w:hAnsi="Avenir Next LT Pro"/>
        </w:rPr>
        <w:t>several</w:t>
      </w:r>
      <w:r w:rsidRPr="00055110">
        <w:rPr>
          <w:rFonts w:ascii="Avenir Next LT Pro" w:hAnsi="Avenir Next LT Pro"/>
        </w:rPr>
        <w:t xml:space="preserve"> posts </w:t>
      </w:r>
      <w:r w:rsidR="009318C0" w:rsidRPr="00055110">
        <w:rPr>
          <w:rFonts w:ascii="Avenir Next LT Pro" w:hAnsi="Avenir Next LT Pro"/>
        </w:rPr>
        <w:t xml:space="preserve">not immediately being </w:t>
      </w:r>
      <w:r w:rsidR="00B94963" w:rsidRPr="00055110">
        <w:rPr>
          <w:rFonts w:ascii="Avenir Next LT Pro" w:hAnsi="Avenir Next LT Pro"/>
        </w:rPr>
        <w:t>filled due to the recruitment market</w:t>
      </w:r>
      <w:r w:rsidRPr="00055110">
        <w:rPr>
          <w:rFonts w:ascii="Avenir Next LT Pro" w:hAnsi="Avenir Next LT Pro"/>
        </w:rPr>
        <w:t xml:space="preserve">. This </w:t>
      </w:r>
      <w:proofErr w:type="gramStart"/>
      <w:r w:rsidRPr="00055110">
        <w:rPr>
          <w:rFonts w:ascii="Avenir Next LT Pro" w:hAnsi="Avenir Next LT Pro"/>
        </w:rPr>
        <w:t>lead</w:t>
      </w:r>
      <w:proofErr w:type="gramEnd"/>
      <w:r w:rsidRPr="00055110">
        <w:rPr>
          <w:rFonts w:ascii="Avenir Next LT Pro" w:hAnsi="Avenir Next LT Pro"/>
        </w:rPr>
        <w:t xml:space="preserve"> </w:t>
      </w:r>
      <w:r w:rsidR="00B94963" w:rsidRPr="00055110">
        <w:rPr>
          <w:rFonts w:ascii="Avenir Next LT Pro" w:hAnsi="Avenir Next LT Pro"/>
        </w:rPr>
        <w:t xml:space="preserve">to </w:t>
      </w:r>
      <w:r w:rsidRPr="00055110">
        <w:rPr>
          <w:rFonts w:ascii="Avenir Next LT Pro" w:hAnsi="Avenir Next LT Pro"/>
        </w:rPr>
        <w:t>some cash surplus within the year.</w:t>
      </w:r>
      <w:r w:rsidR="00000AC8" w:rsidRPr="00055110">
        <w:rPr>
          <w:rFonts w:ascii="Avenir Next LT Pro" w:hAnsi="Avenir Next LT Pro"/>
        </w:rPr>
        <w:t xml:space="preserve">  Due to this, the </w:t>
      </w:r>
      <w:r w:rsidR="00C64103" w:rsidRPr="00055110">
        <w:rPr>
          <w:rFonts w:ascii="Avenir Next LT Pro" w:hAnsi="Avenir Next LT Pro"/>
        </w:rPr>
        <w:t>SU was able to commit further funds to reserves in line with its reserves policy</w:t>
      </w:r>
      <w:r w:rsidR="002240D4" w:rsidRPr="00055110">
        <w:rPr>
          <w:rFonts w:ascii="Avenir Next LT Pro" w:hAnsi="Avenir Next LT Pro"/>
        </w:rPr>
        <w:t xml:space="preserve">.  Reserves act as a ‘rainy day’ </w:t>
      </w:r>
      <w:r w:rsidR="00183E7F">
        <w:rPr>
          <w:rFonts w:ascii="Avenir Next LT Pro" w:hAnsi="Avenir Next LT Pro"/>
        </w:rPr>
        <w:br/>
      </w:r>
      <w:r w:rsidR="002240D4" w:rsidRPr="00055110">
        <w:rPr>
          <w:rFonts w:ascii="Avenir Next LT Pro" w:hAnsi="Avenir Next LT Pro"/>
        </w:rPr>
        <w:t xml:space="preserve">fund in simplest terms and allows the organisation flexibility when making decisions </w:t>
      </w:r>
      <w:r w:rsidR="00183E7F">
        <w:rPr>
          <w:rFonts w:ascii="Avenir Next LT Pro" w:hAnsi="Avenir Next LT Pro"/>
        </w:rPr>
        <w:br/>
      </w:r>
      <w:r w:rsidR="002240D4" w:rsidRPr="00055110">
        <w:rPr>
          <w:rFonts w:ascii="Avenir Next LT Pro" w:hAnsi="Avenir Next LT Pro"/>
        </w:rPr>
        <w:t>going forward.</w:t>
      </w:r>
    </w:p>
    <w:p w14:paraId="317A22D9" w14:textId="3598BD7D" w:rsidR="007C63E4" w:rsidRPr="00055110" w:rsidRDefault="007C63E4" w:rsidP="003B1282">
      <w:pPr>
        <w:tabs>
          <w:tab w:val="left" w:pos="1272"/>
          <w:tab w:val="left" w:pos="2357"/>
        </w:tabs>
        <w:spacing w:before="240" w:line="360" w:lineRule="auto"/>
        <w:rPr>
          <w:rFonts w:ascii="Avenir Next LT Pro" w:hAnsi="Avenir Next LT Pro"/>
          <w:b/>
          <w:bCs/>
        </w:rPr>
      </w:pPr>
      <w:r w:rsidRPr="00055110">
        <w:rPr>
          <w:rFonts w:ascii="Avenir Next LT Pro" w:hAnsi="Avenir Next LT Pro"/>
          <w:b/>
          <w:bCs/>
          <w:sz w:val="40"/>
          <w:szCs w:val="40"/>
        </w:rPr>
        <w:t xml:space="preserve">Reserves </w:t>
      </w:r>
      <w:r w:rsidR="00055110">
        <w:rPr>
          <w:rFonts w:ascii="Avenir Next LT Pro" w:hAnsi="Avenir Next LT Pro"/>
          <w:b/>
          <w:bCs/>
          <w:sz w:val="40"/>
          <w:szCs w:val="40"/>
        </w:rPr>
        <w:t>P</w:t>
      </w:r>
      <w:r w:rsidRPr="00055110">
        <w:rPr>
          <w:rFonts w:ascii="Avenir Next LT Pro" w:hAnsi="Avenir Next LT Pro"/>
          <w:b/>
          <w:bCs/>
          <w:sz w:val="40"/>
          <w:szCs w:val="40"/>
        </w:rPr>
        <w:t xml:space="preserve">olicy </w:t>
      </w:r>
      <w:r w:rsidR="00055110" w:rsidRPr="00055110">
        <w:rPr>
          <w:rFonts w:ascii="Avenir Next LT Pro" w:hAnsi="Avenir Next LT Pro"/>
          <w:b/>
          <w:bCs/>
        </w:rPr>
        <w:tab/>
      </w:r>
    </w:p>
    <w:p w14:paraId="5B43C356" w14:textId="48243E62" w:rsidR="007C63E4" w:rsidRPr="00055110" w:rsidRDefault="007C63E4" w:rsidP="003B1282">
      <w:pPr>
        <w:tabs>
          <w:tab w:val="left" w:pos="1272"/>
        </w:tabs>
        <w:spacing w:before="240" w:line="360" w:lineRule="auto"/>
        <w:rPr>
          <w:rFonts w:ascii="Avenir Next LT Pro" w:hAnsi="Avenir Next LT Pro"/>
        </w:rPr>
      </w:pPr>
      <w:r w:rsidRPr="00055110">
        <w:rPr>
          <w:rFonts w:ascii="Avenir Next LT Pro" w:hAnsi="Avenir Next LT Pro"/>
        </w:rPr>
        <w:t xml:space="preserve">Reasonable reserves are needed to provide security for the organisation and provide access to additional project finance </w:t>
      </w:r>
      <w:proofErr w:type="gramStart"/>
      <w:r w:rsidRPr="00055110">
        <w:rPr>
          <w:rFonts w:ascii="Avenir Next LT Pro" w:hAnsi="Avenir Next LT Pro"/>
        </w:rPr>
        <w:t>in order to</w:t>
      </w:r>
      <w:proofErr w:type="gramEnd"/>
      <w:r w:rsidRPr="00055110">
        <w:rPr>
          <w:rFonts w:ascii="Avenir Next LT Pro" w:hAnsi="Avenir Next LT Pro"/>
        </w:rPr>
        <w:t xml:space="preserve"> respond to external events. The Trustees have adopted a Reserves Policy which set the long-term ambition of £150,000 in reserves. We are currently considering adding a provision for redundancies purely based on a prudent approach. The general fund balance </w:t>
      </w:r>
      <w:proofErr w:type="gramStart"/>
      <w:r w:rsidRPr="00055110">
        <w:rPr>
          <w:rFonts w:ascii="Avenir Next LT Pro" w:hAnsi="Avenir Next LT Pro"/>
        </w:rPr>
        <w:t>at</w:t>
      </w:r>
      <w:proofErr w:type="gramEnd"/>
      <w:r w:rsidRPr="00055110">
        <w:rPr>
          <w:rFonts w:ascii="Avenir Next LT Pro" w:hAnsi="Avenir Next LT Pro"/>
        </w:rPr>
        <w:t xml:space="preserve"> 31 July 2024 was £163,244. The amount tied up in fixed assets is £51,901 leaving free reserves of £111,343.</w:t>
      </w:r>
    </w:p>
    <w:p w14:paraId="2A9E22BD" w14:textId="3FAA22AD" w:rsidR="000F7837" w:rsidRPr="00055110" w:rsidRDefault="000F7837" w:rsidP="003B1282">
      <w:pPr>
        <w:tabs>
          <w:tab w:val="left" w:pos="1272"/>
        </w:tabs>
        <w:spacing w:before="240" w:line="360" w:lineRule="auto"/>
        <w:rPr>
          <w:rFonts w:ascii="Avenir Next LT Pro" w:hAnsi="Avenir Next LT Pro"/>
        </w:rPr>
      </w:pPr>
      <w:r w:rsidRPr="00055110">
        <w:rPr>
          <w:rFonts w:ascii="Avenir Next LT Pro" w:hAnsi="Avenir Next LT Pro"/>
        </w:rPr>
        <w:t>If you have any questions or queries</w:t>
      </w:r>
      <w:r w:rsidR="00055110">
        <w:rPr>
          <w:rFonts w:ascii="Avenir Next LT Pro" w:hAnsi="Avenir Next LT Pro"/>
        </w:rPr>
        <w:t>,</w:t>
      </w:r>
      <w:r w:rsidRPr="00055110">
        <w:rPr>
          <w:rFonts w:ascii="Avenir Next LT Pro" w:hAnsi="Avenir Next LT Pro"/>
        </w:rPr>
        <w:t xml:space="preserve"> then please raise them at the AGM and we will answer these after the meeting.</w:t>
      </w:r>
      <w:r w:rsidR="003101E4" w:rsidRPr="00055110">
        <w:rPr>
          <w:rFonts w:ascii="Avenir Next LT Pro" w:hAnsi="Avenir Next LT Pro"/>
        </w:rPr>
        <w:t xml:space="preserve">  </w:t>
      </w:r>
    </w:p>
    <w:sectPr w:rsidR="000F7837" w:rsidRPr="0005511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DAD3" w14:textId="77777777" w:rsidR="00C077F3" w:rsidRDefault="00C077F3" w:rsidP="00C518F6">
      <w:pPr>
        <w:spacing w:after="0" w:line="240" w:lineRule="auto"/>
      </w:pPr>
      <w:r>
        <w:separator/>
      </w:r>
    </w:p>
  </w:endnote>
  <w:endnote w:type="continuationSeparator" w:id="0">
    <w:p w14:paraId="10FA12EF" w14:textId="77777777" w:rsidR="00C077F3" w:rsidRDefault="00C077F3" w:rsidP="00C5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ƒk,±ò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D207" w14:textId="22AAC7F3" w:rsidR="00055110" w:rsidRPr="00055110" w:rsidRDefault="003B1255" w:rsidP="003B1255">
    <w:pPr>
      <w:pStyle w:val="Footer"/>
      <w:jc w:val="center"/>
      <w:rPr>
        <w:rFonts w:ascii="Avenir Next LT Pro" w:hAnsi="Avenir Next LT Pro"/>
        <w:sz w:val="15"/>
        <w:szCs w:val="15"/>
      </w:rPr>
    </w:pPr>
    <w:r w:rsidRPr="003B1255">
      <w:rPr>
        <w:rFonts w:ascii="Avenir Next LT Pro" w:hAnsi="Avenir Next LT Pro"/>
        <w:sz w:val="15"/>
        <w:szCs w:val="15"/>
      </w:rPr>
      <w:t>Audited Financial Accounts to July 2024</w:t>
    </w:r>
    <w:r>
      <w:rPr>
        <w:rFonts w:ascii="Avenir Next LT Pro" w:hAnsi="Avenir Next LT Pro"/>
        <w:sz w:val="15"/>
        <w:szCs w:val="15"/>
      </w:rPr>
      <w:t xml:space="preserve"> / </w:t>
    </w:r>
    <w:r w:rsidR="00055110" w:rsidRPr="00055110">
      <w:rPr>
        <w:rFonts w:ascii="Avenir Next LT Pro" w:hAnsi="Avenir Next LT Pro"/>
        <w:sz w:val="15"/>
        <w:szCs w:val="15"/>
      </w:rPr>
      <w:t>Annual General Meeting 2025</w:t>
    </w:r>
    <w:r w:rsidR="00055110" w:rsidRPr="00055110">
      <w:rPr>
        <w:rFonts w:ascii="Avenir Next LT Pro" w:hAnsi="Avenir Next LT Pro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277E" w14:textId="77777777" w:rsidR="00C077F3" w:rsidRDefault="00C077F3" w:rsidP="00C518F6">
      <w:pPr>
        <w:spacing w:after="0" w:line="240" w:lineRule="auto"/>
      </w:pPr>
      <w:r>
        <w:separator/>
      </w:r>
    </w:p>
  </w:footnote>
  <w:footnote w:type="continuationSeparator" w:id="0">
    <w:p w14:paraId="06156A38" w14:textId="77777777" w:rsidR="00C077F3" w:rsidRDefault="00C077F3" w:rsidP="00C5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5E7F" w14:textId="48684AF9" w:rsidR="003A72DB" w:rsidRDefault="003A72DB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03"/>
    <w:rsid w:val="00000AC8"/>
    <w:rsid w:val="00055110"/>
    <w:rsid w:val="00092A41"/>
    <w:rsid w:val="000F7837"/>
    <w:rsid w:val="001678C7"/>
    <w:rsid w:val="00183E7F"/>
    <w:rsid w:val="001F099B"/>
    <w:rsid w:val="002240D4"/>
    <w:rsid w:val="002822DD"/>
    <w:rsid w:val="002D453F"/>
    <w:rsid w:val="003101E4"/>
    <w:rsid w:val="0033501A"/>
    <w:rsid w:val="003A72DB"/>
    <w:rsid w:val="003B1255"/>
    <w:rsid w:val="003B1282"/>
    <w:rsid w:val="0044379E"/>
    <w:rsid w:val="0045383F"/>
    <w:rsid w:val="004C78A7"/>
    <w:rsid w:val="00584F15"/>
    <w:rsid w:val="006E2FF4"/>
    <w:rsid w:val="00713051"/>
    <w:rsid w:val="007C63E4"/>
    <w:rsid w:val="00840C89"/>
    <w:rsid w:val="008664E6"/>
    <w:rsid w:val="008E737E"/>
    <w:rsid w:val="009318C0"/>
    <w:rsid w:val="00993663"/>
    <w:rsid w:val="00AA0E20"/>
    <w:rsid w:val="00B27FB0"/>
    <w:rsid w:val="00B56DA6"/>
    <w:rsid w:val="00B67043"/>
    <w:rsid w:val="00B94963"/>
    <w:rsid w:val="00BA4920"/>
    <w:rsid w:val="00BB676A"/>
    <w:rsid w:val="00C077F3"/>
    <w:rsid w:val="00C518F6"/>
    <w:rsid w:val="00C64103"/>
    <w:rsid w:val="00CB5FB7"/>
    <w:rsid w:val="00D02F84"/>
    <w:rsid w:val="00D21749"/>
    <w:rsid w:val="00DE04B6"/>
    <w:rsid w:val="00DF3729"/>
    <w:rsid w:val="00E55F7C"/>
    <w:rsid w:val="00EC3DFE"/>
    <w:rsid w:val="00F532BB"/>
    <w:rsid w:val="00F644FD"/>
    <w:rsid w:val="0CC6BB5A"/>
    <w:rsid w:val="39E3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9D110"/>
  <w15:chartTrackingRefBased/>
  <w15:docId w15:val="{1E84C805-7990-4365-A427-C9F1B0C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8F6"/>
  </w:style>
  <w:style w:type="paragraph" w:styleId="Footer">
    <w:name w:val="footer"/>
    <w:basedOn w:val="Normal"/>
    <w:link w:val="FooterChar"/>
    <w:uiPriority w:val="99"/>
    <w:unhideWhenUsed/>
    <w:rsid w:val="00C51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8F6"/>
  </w:style>
  <w:style w:type="table" w:styleId="TableGrid">
    <w:name w:val="Table Grid"/>
    <w:basedOn w:val="TableNormal"/>
    <w:uiPriority w:val="39"/>
    <w:rsid w:val="0005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939E69C8154987E387DBF2F0F7EA" ma:contentTypeVersion="18" ma:contentTypeDescription="Create a new document." ma:contentTypeScope="" ma:versionID="d3b77ef47a3539c6e149213f9600d07f">
  <xsd:schema xmlns:xsd="http://www.w3.org/2001/XMLSchema" xmlns:xs="http://www.w3.org/2001/XMLSchema" xmlns:p="http://schemas.microsoft.com/office/2006/metadata/properties" xmlns:ns2="845d9b41-2c55-4b9a-b81b-586f4859aeda" xmlns:ns3="086f7e82-1441-4cdb-b4d8-2072e6336ae5" targetNamespace="http://schemas.microsoft.com/office/2006/metadata/properties" ma:root="true" ma:fieldsID="adb431f161e5a270056c73b6529bca8b" ns2:_="" ns3:_="">
    <xsd:import namespace="845d9b41-2c55-4b9a-b81b-586f4859aeda"/>
    <xsd:import namespace="086f7e82-1441-4cdb-b4d8-2072e63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9b41-2c55-4b9a-b81b-586f4859a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7e82-1441-4cdb-b4d8-2072e633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15763-210e-4e0a-be98-311a76f6b92a}" ma:internalName="TaxCatchAll" ma:showField="CatchAllData" ma:web="086f7e82-1441-4cdb-b4d8-2072e63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d9b41-2c55-4b9a-b81b-586f4859aeda">
      <Terms xmlns="http://schemas.microsoft.com/office/infopath/2007/PartnerControls"/>
    </lcf76f155ced4ddcb4097134ff3c332f>
    <TaxCatchAll xmlns="086f7e82-1441-4cdb-b4d8-2072e6336ae5" xsi:nil="true"/>
  </documentManagement>
</p:properties>
</file>

<file path=customXml/itemProps1.xml><?xml version="1.0" encoding="utf-8"?>
<ds:datastoreItem xmlns:ds="http://schemas.openxmlformats.org/officeDocument/2006/customXml" ds:itemID="{2EB58044-AA61-4243-8035-7AA888977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E2367-086A-4194-8359-A2C89CC24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9b41-2c55-4b9a-b81b-586f4859aeda"/>
    <ds:schemaRef ds:uri="086f7e82-1441-4cdb-b4d8-2072e63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74B41-A6E0-436C-9586-95C9F509605B}">
  <ds:schemaRefs>
    <ds:schemaRef ds:uri="http://schemas.microsoft.com/office/2006/metadata/properties"/>
    <ds:schemaRef ds:uri="http://schemas.microsoft.com/office/infopath/2007/PartnerControls"/>
    <ds:schemaRef ds:uri="845d9b41-2c55-4b9a-b81b-586f4859aeda"/>
    <ds:schemaRef ds:uri="086f7e82-1441-4cdb-b4d8-2072e6336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Viccars, Michelle</dc:creator>
  <cp:keywords/>
  <dc:description/>
  <cp:lastModifiedBy>Matthew Otten</cp:lastModifiedBy>
  <cp:revision>16</cp:revision>
  <dcterms:created xsi:type="dcterms:W3CDTF">2025-01-28T08:45:00Z</dcterms:created>
  <dcterms:modified xsi:type="dcterms:W3CDTF">2025-02-18T15:27:00Z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0x010100FD46939E69C8154987E387DBF2F0F7EA</vt:lpwstr>
  </property>
  <property fmtid="{D5CDD505-2E9C-101B-9397-08002B2CF9AE}" pid="3" name="MediaServiceImageTags">
    <vt:lpwstr/>
  </property>
</Properties>
</file>